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9D9FE">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询价文件</w:t>
      </w:r>
    </w:p>
    <w:p w14:paraId="6BECC22F"/>
    <w:p w14:paraId="74E267E7">
      <w:pPr>
        <w:pStyle w:val="9"/>
        <w:widowControl/>
        <w:numPr>
          <w:ilvl w:val="0"/>
          <w:numId w:val="1"/>
        </w:numPr>
        <w:spacing w:beforeAutospacing="0" w:afterAutospacing="0" w:line="540" w:lineRule="exact"/>
        <w:jc w:val="both"/>
        <w:outlineLvl w:val="0"/>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2CB8F93D">
      <w:pPr>
        <w:pStyle w:val="9"/>
        <w:widowControl/>
        <w:numPr>
          <w:ilvl w:val="0"/>
          <w:numId w:val="2"/>
        </w:numPr>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项目编号：</w:t>
      </w:r>
      <w:r>
        <w:rPr>
          <w:rFonts w:ascii="仿宋_GB2312" w:hAnsi="仿宋_GB2312" w:eastAsia="仿宋_GB2312" w:cs="仿宋_GB2312"/>
          <w:color w:val="000000"/>
          <w:sz w:val="28"/>
          <w:szCs w:val="28"/>
          <w:lang w:bidi="ar"/>
        </w:rPr>
        <w:t>CBJS-2025-ZC</w:t>
      </w:r>
      <w:r>
        <w:rPr>
          <w:rFonts w:hint="eastAsia" w:ascii="仿宋_GB2312" w:hAnsi="仿宋_GB2312" w:eastAsia="仿宋_GB2312" w:cs="仿宋_GB2312"/>
          <w:color w:val="000000"/>
          <w:sz w:val="28"/>
          <w:szCs w:val="28"/>
          <w:lang w:bidi="ar"/>
        </w:rPr>
        <w:t>008</w:t>
      </w:r>
    </w:p>
    <w:p w14:paraId="4F3E576D">
      <w:pPr>
        <w:pStyle w:val="9"/>
        <w:widowControl/>
        <w:numPr>
          <w:ilvl w:val="255"/>
          <w:numId w:val="0"/>
        </w:numPr>
        <w:spacing w:beforeAutospacing="0" w:afterAutospacing="0" w:line="540" w:lineRule="exact"/>
        <w:jc w:val="both"/>
        <w:rPr>
          <w:rFonts w:ascii="仿宋_GB2312" w:hAnsi="仿宋_GB2312" w:eastAsia="仿宋_GB2312" w:cs="仿宋_GB2312"/>
          <w:color w:val="000000"/>
          <w:sz w:val="28"/>
          <w:lang w:bidi="ar"/>
        </w:rPr>
      </w:pPr>
      <w:r>
        <w:rPr>
          <w:rFonts w:hint="eastAsia" w:ascii="仿宋_GB2312" w:hAnsi="仿宋_GB2312" w:eastAsia="仿宋_GB2312" w:cs="仿宋_GB2312"/>
          <w:color w:val="000000"/>
          <w:sz w:val="28"/>
          <w:szCs w:val="28"/>
          <w:lang w:bidi="ar"/>
        </w:rPr>
        <w:t>2.项目名称：合肥市经开区大学城地下空间西广场停车场消防设施设备维保服务</w:t>
      </w:r>
    </w:p>
    <w:p w14:paraId="25ACC844">
      <w:pPr>
        <w:spacing w:line="300" w:lineRule="auto"/>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3.项目范围：合肥市</w:t>
      </w:r>
    </w:p>
    <w:p w14:paraId="708BA01B">
      <w:pPr>
        <w:spacing w:line="300" w:lineRule="auto"/>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378A2FFC">
      <w:pPr>
        <w:spacing w:line="300" w:lineRule="auto"/>
        <w:rPr>
          <w:rFonts w:ascii="仿宋_GB2312" w:hAnsi="仿宋_GB2312" w:eastAsia="仿宋_GB2312" w:cs="仿宋_GB2312"/>
          <w:color w:val="FF0000"/>
          <w:kern w:val="0"/>
          <w:sz w:val="28"/>
          <w:szCs w:val="28"/>
        </w:rPr>
      </w:pPr>
      <w:r>
        <w:rPr>
          <w:rFonts w:hint="eastAsia" w:ascii="仿宋_GB2312" w:hAnsi="仿宋_GB2312" w:eastAsia="仿宋_GB2312" w:cs="仿宋_GB2312"/>
          <w:color w:val="000000"/>
          <w:sz w:val="28"/>
          <w:szCs w:val="28"/>
          <w:lang w:bidi="ar"/>
        </w:rPr>
        <w:t>5.项目概况：</w:t>
      </w:r>
      <w:r>
        <w:rPr>
          <w:rFonts w:hint="eastAsia" w:ascii="仿宋_GB2312" w:hAnsi="仿宋_GB2312" w:eastAsia="仿宋_GB2312" w:cs="仿宋_GB2312"/>
          <w:color w:val="000000"/>
          <w:sz w:val="28"/>
          <w:szCs w:val="28"/>
        </w:rPr>
        <w:t>合肥市</w:t>
      </w:r>
      <w:r>
        <w:rPr>
          <w:rFonts w:hint="eastAsia" w:ascii="仿宋_GB2312" w:hAnsi="仿宋_GB2312" w:eastAsia="仿宋_GB2312" w:cs="仿宋_GB2312"/>
          <w:color w:val="000000"/>
          <w:sz w:val="28"/>
          <w:szCs w:val="28"/>
          <w:lang w:bidi="ar"/>
        </w:rPr>
        <w:t>经开区大学城地下空间西广场停车场消防设施设备维保</w:t>
      </w:r>
      <w:r>
        <w:rPr>
          <w:rFonts w:hint="eastAsia" w:ascii="仿宋_GB2312" w:hAnsi="仿宋_GB2312" w:eastAsia="仿宋_GB2312" w:cs="仿宋_GB2312"/>
          <w:sz w:val="28"/>
          <w:szCs w:val="28"/>
        </w:rPr>
        <w:t>，包括含</w:t>
      </w:r>
      <w:r>
        <w:rPr>
          <w:rFonts w:hint="eastAsia" w:ascii="仿宋_GB2312" w:hAnsi="仿宋_GB2312" w:eastAsia="仿宋_GB2312" w:cs="仿宋_GB2312"/>
          <w:color w:val="000000"/>
          <w:sz w:val="28"/>
          <w:szCs w:val="28"/>
        </w:rPr>
        <w:t>火灾自动报警系统、消防供水系统、消火栓系统、喷淋灭火系统、防排烟通风系统、防火门、防火卷帘、气体灭火系统等消防设施设备进行日常维保服务。本次报价为含税总包</w:t>
      </w:r>
      <w:r>
        <w:rPr>
          <w:rFonts w:hint="eastAsia" w:ascii="仿宋_GB2312" w:hAnsi="仿宋_GB2312" w:eastAsia="仿宋_GB2312" w:cs="仿宋_GB2312"/>
          <w:sz w:val="28"/>
          <w:szCs w:val="28"/>
        </w:rPr>
        <w:t>价。</w:t>
      </w:r>
      <w:r>
        <w:rPr>
          <w:rFonts w:hint="eastAsia" w:ascii="仿宋_GB2312" w:hAnsi="仿宋_GB2312" w:eastAsia="仿宋_GB2312" w:cs="仿宋_GB2312"/>
          <w:kern w:val="0"/>
          <w:sz w:val="28"/>
          <w:szCs w:val="28"/>
        </w:rPr>
        <w:t>（详见询价文件）</w:t>
      </w:r>
    </w:p>
    <w:p w14:paraId="4B5F99E8">
      <w:pPr>
        <w:pStyle w:val="9"/>
        <w:widowControl/>
        <w:spacing w:beforeAutospacing="0" w:afterAutospacing="0" w:line="540" w:lineRule="exact"/>
        <w:jc w:val="both"/>
        <w:rPr>
          <w:rFonts w:ascii="Times New Roman" w:hAnsi="Times New Roman" w:eastAsia="仿宋_GB2312"/>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z w:val="28"/>
          <w:szCs w:val="28"/>
        </w:rPr>
        <w:t xml:space="preserve">□工程 □货物 </w:t>
      </w:r>
      <w:r>
        <w:rPr>
          <w:rFonts w:hint="eastAsia" w:eastAsia="仿宋_GB2312"/>
          <w:sz w:val="28"/>
          <w:szCs w:val="28"/>
        </w:rPr>
        <w:t>☑</w:t>
      </w:r>
      <w:r>
        <w:rPr>
          <w:rFonts w:hint="eastAsia" w:ascii="Times New Roman" w:hAnsi="Times New Roman" w:eastAsia="仿宋_GB2312"/>
          <w:sz w:val="28"/>
          <w:szCs w:val="28"/>
        </w:rPr>
        <w:t>服务</w:t>
      </w:r>
    </w:p>
    <w:p w14:paraId="2DA03E70">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w:t>
      </w:r>
      <w:r>
        <w:rPr>
          <w:rFonts w:hint="eastAsia" w:ascii="Times New Roman" w:hAnsi="Times New Roman" w:eastAsia="仿宋_GB2312"/>
          <w:sz w:val="28"/>
          <w:szCs w:val="28"/>
          <w:lang w:bidi="ar"/>
        </w:rPr>
        <w:t>33400.00</w:t>
      </w:r>
      <w:r>
        <w:rPr>
          <w:rFonts w:hint="eastAsia" w:ascii="仿宋_GB2312" w:hAnsi="仿宋_GB2312" w:eastAsia="仿宋_GB2312" w:cs="仿宋_GB2312"/>
          <w:color w:val="000000"/>
          <w:sz w:val="28"/>
          <w:szCs w:val="28"/>
          <w:lang w:bidi="ar"/>
        </w:rPr>
        <w:t>元</w:t>
      </w:r>
    </w:p>
    <w:p w14:paraId="77880A67">
      <w:pPr>
        <w:pStyle w:val="9"/>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0</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390408B4">
      <w:pPr>
        <w:pStyle w:val="9"/>
        <w:widowControl/>
        <w:spacing w:beforeAutospacing="0" w:afterAutospacing="0" w:line="540" w:lineRule="exact"/>
        <w:jc w:val="both"/>
        <w:outlineLvl w:val="0"/>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6ACEC1D2">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有独立订立合同和履行合同能力的中华人民共和国境内注册的企业法人或其他组织；具备有效合法的注册资质（营业执照、税务登记证、组织机构代码或“三证合一”的营业执照等各种证件合法有效），经营范围覆盖本项目。</w:t>
      </w:r>
    </w:p>
    <w:p w14:paraId="18EE8CBA">
      <w:pPr>
        <w:spacing w:line="300" w:lineRule="auto"/>
        <w:ind w:firstLine="560" w:firstLineChars="200"/>
        <w:outlineLvl w:val="1"/>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2.具备消防专业维保和检测资质。</w:t>
      </w:r>
    </w:p>
    <w:p w14:paraId="129983BB">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3.法定代表人或单位负责人为同一人或者存在控股、管理关系的不同单位，不得参加同一项目的投标。</w:t>
      </w:r>
    </w:p>
    <w:p w14:paraId="265F4D57">
      <w:pPr>
        <w:spacing w:line="300" w:lineRule="auto"/>
        <w:ind w:firstLine="560"/>
      </w:pPr>
      <w:r>
        <w:rPr>
          <w:rFonts w:hint="eastAsia" w:ascii="仿宋_GB2312" w:hAnsi="仿宋_GB2312" w:eastAsia="仿宋_GB2312" w:cs="仿宋_GB2312"/>
          <w:color w:val="000000"/>
          <w:sz w:val="28"/>
          <w:szCs w:val="28"/>
          <w:lang w:bidi="ar"/>
        </w:rPr>
        <w:t>4.投标人业绩要求：202</w:t>
      </w:r>
      <w:r>
        <w:rPr>
          <w:rFonts w:ascii="仿宋_GB2312" w:hAnsi="仿宋_GB2312" w:eastAsia="仿宋_GB2312" w:cs="仿宋_GB2312"/>
          <w:color w:val="000000"/>
          <w:sz w:val="28"/>
          <w:szCs w:val="28"/>
          <w:lang w:bidi="ar"/>
        </w:rPr>
        <w:t>2</w:t>
      </w:r>
      <w:r>
        <w:rPr>
          <w:rFonts w:hint="eastAsia" w:ascii="仿宋_GB2312" w:hAnsi="仿宋_GB2312" w:eastAsia="仿宋_GB2312" w:cs="仿宋_GB2312"/>
          <w:color w:val="000000"/>
          <w:sz w:val="28"/>
          <w:szCs w:val="28"/>
          <w:lang w:bidi="ar"/>
        </w:rPr>
        <w:t>年至今单项不低于3万元的相关消防类维保合同（以合同签订时间为准）。</w:t>
      </w:r>
    </w:p>
    <w:p w14:paraId="3126C31F">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5.投标人具有开据增值税专用发票资格。</w:t>
      </w:r>
    </w:p>
    <w:p w14:paraId="37183ECD">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6.投标人无重大违法记录声明函、无不良信用记录声明函。</w:t>
      </w:r>
    </w:p>
    <w:p w14:paraId="382DFD57">
      <w:pPr>
        <w:spacing w:line="30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7.本次询价不接受联合体投标。</w:t>
      </w:r>
    </w:p>
    <w:p w14:paraId="575CB54A">
      <w:pPr>
        <w:widowControl/>
        <w:spacing w:line="540" w:lineRule="exact"/>
        <w:jc w:val="left"/>
        <w:outlineLvl w:val="0"/>
        <w:rPr>
          <w:rFonts w:ascii="仿宋_GB2312" w:hAnsi="仿宋_GB2312" w:eastAsia="仿宋_GB2312" w:cs="仿宋_GB2312"/>
          <w:szCs w:val="28"/>
        </w:rPr>
      </w:pPr>
      <w:r>
        <w:rPr>
          <w:rFonts w:hint="eastAsia" w:ascii="仿宋_GB2312" w:hAnsi="宋体" w:eastAsia="仿宋_GB2312" w:cs="仿宋_GB2312"/>
          <w:b/>
          <w:bCs/>
          <w:color w:val="000000"/>
          <w:kern w:val="0"/>
          <w:sz w:val="28"/>
          <w:szCs w:val="28"/>
          <w:lang w:bidi="ar"/>
        </w:rPr>
        <w:t>三、采购需求</w:t>
      </w:r>
    </w:p>
    <w:p w14:paraId="1AA3CB0D">
      <w:pPr>
        <w:tabs>
          <w:tab w:val="left" w:pos="1059"/>
          <w:tab w:val="left" w:pos="1060"/>
        </w:tabs>
        <w:spacing w:line="540" w:lineRule="exact"/>
        <w:outlineLvl w:val="1"/>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（一）服务范围</w:t>
      </w:r>
    </w:p>
    <w:p w14:paraId="18B16C2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合肥市经开区大学城地下空间西广场停车场消防设施设备维保服务</w:t>
      </w:r>
      <w:r>
        <w:rPr>
          <w:rFonts w:hint="eastAsia" w:ascii="仿宋_GB2312" w:hAnsi="仿宋_GB2312" w:eastAsia="仿宋_GB2312" w:cs="仿宋_GB2312"/>
          <w:sz w:val="28"/>
          <w:szCs w:val="28"/>
        </w:rPr>
        <w:t>，包括含</w:t>
      </w:r>
      <w:r>
        <w:rPr>
          <w:rFonts w:hint="eastAsia" w:ascii="仿宋_GB2312" w:hAnsi="仿宋_GB2312" w:eastAsia="仿宋_GB2312" w:cs="仿宋_GB2312"/>
          <w:color w:val="000000"/>
          <w:sz w:val="28"/>
          <w:szCs w:val="28"/>
        </w:rPr>
        <w:t>火灾自动报警系统、消防供水系统、消火栓系统、喷淋灭火系统、防排烟通风系统、防火门、防火卷帘、气体灭火系统等消防设施设备进行日常维保服务。</w:t>
      </w:r>
      <w:r>
        <w:rPr>
          <w:rFonts w:hint="eastAsia" w:ascii="仿宋_GB2312" w:hAnsi="仿宋_GB2312" w:eastAsia="仿宋_GB2312" w:cs="仿宋_GB2312"/>
          <w:sz w:val="28"/>
          <w:szCs w:val="28"/>
        </w:rPr>
        <w:t>本次报价为含税总包价。</w:t>
      </w:r>
    </w:p>
    <w:p w14:paraId="698F7B2B">
      <w:pPr>
        <w:pStyle w:val="15"/>
        <w:outlineLvl w:val="2"/>
      </w:pPr>
      <w:r>
        <w:t>（本项目为</w:t>
      </w:r>
      <w:r>
        <w:rPr>
          <w:rFonts w:hint="eastAsia"/>
        </w:rPr>
        <w:t>已</w:t>
      </w:r>
      <w:r>
        <w:t>运营项目</w:t>
      </w:r>
      <w:r>
        <w:rPr>
          <w:rFonts w:hint="eastAsia"/>
        </w:rPr>
        <w:t>，</w:t>
      </w:r>
      <w:r>
        <w:t>报价人需至现场自行踏勘）</w:t>
      </w:r>
    </w:p>
    <w:p w14:paraId="407520C0">
      <w:pPr>
        <w:tabs>
          <w:tab w:val="left" w:pos="1059"/>
          <w:tab w:val="left" w:pos="1060"/>
        </w:tabs>
        <w:spacing w:line="540" w:lineRule="exact"/>
        <w:outlineLvl w:val="1"/>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（二）服务内容</w:t>
      </w:r>
    </w:p>
    <w:p w14:paraId="6876307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主要包括（但不限于）以下服务内容：</w:t>
      </w:r>
    </w:p>
    <w:p w14:paraId="192DAFA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1.定期保养巡检（包括月度、季度、年度及春节、五一、国庆等重大节日前检查）；</w:t>
      </w:r>
    </w:p>
    <w:p w14:paraId="08B8678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2.故障及时处理；</w:t>
      </w:r>
    </w:p>
    <w:p w14:paraId="2568289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3.设备零备件更换（部分收材料费）；</w:t>
      </w:r>
    </w:p>
    <w:p w14:paraId="27EA097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4.现场技术支持（日常性、预防性的事前服务）；</w:t>
      </w:r>
    </w:p>
    <w:p w14:paraId="5878ECB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5.协助消防部门专项检查;</w:t>
      </w:r>
    </w:p>
    <w:p w14:paraId="321D4EC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6.使用单位现场人员培训及操作;</w:t>
      </w:r>
    </w:p>
    <w:p w14:paraId="29648B5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7.对商铺装饰装修提供专业消防改造建议;</w:t>
      </w:r>
    </w:p>
    <w:p w14:paraId="1141D73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8.中标人出具的国家承认的年度消防检测报告；</w:t>
      </w:r>
    </w:p>
    <w:p w14:paraId="25EAB16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9.定期充装灭火器、七氟丙烷、消防必备的器材和更换损坏的灭火器（产生费用按市场价计算）；</w:t>
      </w:r>
    </w:p>
    <w:p w14:paraId="37A37988">
      <w:pPr>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10.其他必要的专业服务。</w:t>
      </w:r>
    </w:p>
    <w:p w14:paraId="157A1F17">
      <w:pPr>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（详见合同附件1）</w:t>
      </w:r>
    </w:p>
    <w:p w14:paraId="0907702E">
      <w:pPr>
        <w:pStyle w:val="9"/>
        <w:widowControl/>
        <w:spacing w:beforeAutospacing="0" w:afterAutospacing="0" w:line="540" w:lineRule="exact"/>
        <w:jc w:val="both"/>
        <w:outlineLvl w:val="0"/>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四、项目报价</w:t>
      </w:r>
    </w:p>
    <w:p w14:paraId="7D673860">
      <w:pPr>
        <w:pStyle w:val="9"/>
        <w:widowControl/>
        <w:spacing w:beforeAutospacing="0" w:afterAutospacing="0" w:line="540" w:lineRule="exact"/>
        <w:jc w:val="both"/>
        <w:outlineLvl w:val="1"/>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7BEAA665">
      <w:pPr>
        <w:pStyle w:val="9"/>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2.报价要求：投标单位所报单价为包干价，包含以上采购内容的全部费用，</w:t>
      </w:r>
      <w:r>
        <w:rPr>
          <w:rFonts w:ascii="Times New Roman" w:hAnsi="Times New Roman" w:eastAsia="仿宋_GB2312"/>
          <w:sz w:val="28"/>
          <w:szCs w:val="28"/>
        </w:rPr>
        <w:t>一旦中标，不予以调整。</w:t>
      </w:r>
    </w:p>
    <w:p w14:paraId="73FE63B4">
      <w:pPr>
        <w:pStyle w:val="9"/>
        <w:widowControl/>
        <w:spacing w:beforeAutospacing="0" w:afterAutospacing="0" w:line="540" w:lineRule="exact"/>
        <w:jc w:val="both"/>
        <w:outlineLvl w:val="1"/>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最高</w:t>
      </w:r>
      <w:r>
        <w:rPr>
          <w:rFonts w:hint="eastAsia" w:ascii="Times New Roman" w:hAnsi="Times New Roman" w:eastAsia="仿宋_GB2312"/>
          <w:sz w:val="28"/>
          <w:szCs w:val="28"/>
        </w:rPr>
        <w:t>投标</w:t>
      </w:r>
      <w:r>
        <w:rPr>
          <w:rFonts w:ascii="Times New Roman" w:hAnsi="Times New Roman" w:eastAsia="仿宋_GB2312"/>
          <w:sz w:val="28"/>
          <w:szCs w:val="28"/>
        </w:rPr>
        <w:t>限价：</w:t>
      </w:r>
      <w:r>
        <w:rPr>
          <w:rFonts w:hint="eastAsia" w:ascii="Times New Roman" w:hAnsi="Times New Roman" w:eastAsia="仿宋_GB2312"/>
          <w:sz w:val="28"/>
          <w:szCs w:val="28"/>
        </w:rPr>
        <w:t>33400.00元</w:t>
      </w:r>
      <w:r>
        <w:rPr>
          <w:rFonts w:ascii="Times New Roman" w:hAnsi="Times New Roman" w:eastAsia="仿宋_GB2312"/>
          <w:sz w:val="28"/>
          <w:szCs w:val="28"/>
        </w:rPr>
        <w:t>（含税价）</w:t>
      </w:r>
      <w:r>
        <w:rPr>
          <w:rFonts w:hint="eastAsia" w:ascii="Times New Roman" w:hAnsi="Times New Roman" w:eastAsia="仿宋_GB2312"/>
          <w:sz w:val="28"/>
          <w:szCs w:val="28"/>
        </w:rPr>
        <w:t>。</w:t>
      </w:r>
    </w:p>
    <w:p w14:paraId="0143E9B4">
      <w:pPr>
        <w:widowControl/>
        <w:spacing w:line="540" w:lineRule="exact"/>
        <w:jc w:val="left"/>
        <w:outlineLvl w:val="0"/>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五、投标材料提交</w:t>
      </w:r>
    </w:p>
    <w:p w14:paraId="256954DE">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投标函需经投标人法定负责人或其授权代表签字、盖章；如为授权代表签字，请附授权委托书。内容包括：</w:t>
      </w:r>
    </w:p>
    <w:p w14:paraId="54E97E26">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1C99514F">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40D1093C">
      <w:pPr>
        <w:spacing w:line="540" w:lineRule="exact"/>
        <w:rPr>
          <w:rFonts w:ascii="仿宋_GB2312" w:eastAsia="仿宋_GB2312"/>
          <w:sz w:val="28"/>
          <w:szCs w:val="28"/>
        </w:rPr>
      </w:pPr>
      <w:r>
        <w:rPr>
          <w:rFonts w:hint="eastAsia" w:ascii="仿宋_GB2312" w:eastAsia="仿宋_GB2312"/>
          <w:sz w:val="28"/>
          <w:szCs w:val="28"/>
        </w:rPr>
        <w:t>3.消防维保检测资质证明文件</w:t>
      </w:r>
      <w:r>
        <w:rPr>
          <w:rFonts w:ascii="仿宋_GB2312" w:eastAsia="仿宋_GB2312"/>
          <w:sz w:val="28"/>
          <w:szCs w:val="28"/>
        </w:rPr>
        <w:t>（加盖公章）</w:t>
      </w:r>
    </w:p>
    <w:p w14:paraId="2E5C0BDA">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1C3F87DC">
      <w:pPr>
        <w:spacing w:line="540" w:lineRule="exact"/>
        <w:rPr>
          <w:rFonts w:ascii="仿宋_GB2312" w:eastAsia="仿宋_GB2312"/>
          <w:sz w:val="28"/>
          <w:szCs w:val="28"/>
        </w:rPr>
      </w:pPr>
      <w:r>
        <w:rPr>
          <w:rFonts w:hint="eastAsia" w:ascii="仿宋_GB2312" w:eastAsia="仿宋_GB2312"/>
          <w:sz w:val="28"/>
          <w:szCs w:val="28"/>
        </w:rPr>
        <w:t>5.无不良征信承诺书（提供承诺书，格式见附件6）</w:t>
      </w:r>
    </w:p>
    <w:p w14:paraId="4C4BB858">
      <w:pPr>
        <w:spacing w:line="540" w:lineRule="exact"/>
        <w:rPr>
          <w:rFonts w:ascii="仿宋_GB2312" w:hAnsi="宋体" w:eastAsia="仿宋_GB2312" w:cs="仿宋_GB2312"/>
          <w:color w:val="000000"/>
          <w:kern w:val="0"/>
          <w:sz w:val="28"/>
          <w:szCs w:val="28"/>
          <w:lang w:bidi="ar"/>
        </w:rPr>
      </w:pPr>
      <w:r>
        <w:rPr>
          <w:rFonts w:hint="eastAsia" w:ascii="仿宋_GB2312" w:eastAsia="仿宋_GB2312"/>
          <w:sz w:val="28"/>
          <w:szCs w:val="28"/>
        </w:rPr>
        <w:t>6.其他材料</w:t>
      </w:r>
    </w:p>
    <w:p w14:paraId="0FEBF55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6A30D21D">
      <w:pPr>
        <w:widowControl/>
        <w:spacing w:line="540" w:lineRule="exact"/>
        <w:jc w:val="left"/>
        <w:outlineLvl w:val="0"/>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六、采购要求</w:t>
      </w:r>
    </w:p>
    <w:p w14:paraId="6DF9A0DD">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1C9D2191">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531D8513">
      <w:pPr>
        <w:pStyle w:val="14"/>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2E871C18">
      <w:pPr>
        <w:widowControl/>
        <w:spacing w:line="540" w:lineRule="exact"/>
        <w:jc w:val="left"/>
        <w:outlineLvl w:val="0"/>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七、评审方法和标准</w:t>
      </w:r>
    </w:p>
    <w:p w14:paraId="104D97AB">
      <w:pPr>
        <w:pStyle w:val="9"/>
        <w:widowControl/>
        <w:spacing w:beforeAutospacing="0" w:afterAutospacing="0" w:line="540" w:lineRule="exact"/>
        <w:jc w:val="both"/>
        <w:outlineLvl w:val="1"/>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本项目采用综合评分法。（综合评分法：评审委员会首先对所有投标人投标文件进行初步评审，再按照详细评审标准进行打分，按综合得分由高到低顺序推荐中标候选人）。</w:t>
      </w:r>
    </w:p>
    <w:p w14:paraId="0BC03186">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67389035">
      <w:pPr>
        <w:spacing w:line="540" w:lineRule="exact"/>
        <w:outlineLvl w:val="1"/>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000139BE">
      <w:pPr>
        <w:pStyle w:val="9"/>
        <w:widowControl/>
        <w:spacing w:beforeAutospacing="0" w:afterAutospacing="0" w:line="540" w:lineRule="exact"/>
        <w:jc w:val="both"/>
        <w:outlineLvl w:val="0"/>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八、本项目询价说明</w:t>
      </w:r>
    </w:p>
    <w:p w14:paraId="4A10E47F">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w:t>
      </w:r>
    </w:p>
    <w:p w14:paraId="051AB801">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6D11B3DC">
      <w:pPr>
        <w:widowControl/>
        <w:spacing w:line="540" w:lineRule="exact"/>
        <w:jc w:val="left"/>
        <w:outlineLvl w:val="0"/>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九、</w:t>
      </w:r>
      <w:r>
        <w:rPr>
          <w:rFonts w:ascii="仿宋_GB2312" w:hAnsi="宋体" w:eastAsia="仿宋_GB2312" w:cs="仿宋_GB2312"/>
          <w:b/>
          <w:bCs/>
          <w:color w:val="000000"/>
          <w:kern w:val="0"/>
          <w:sz w:val="28"/>
          <w:szCs w:val="28"/>
          <w:lang w:bidi="ar"/>
        </w:rPr>
        <w:t xml:space="preserve">提交响应文件截止时间及地点及相关事宜 </w:t>
      </w:r>
      <w:bookmarkStart w:id="5" w:name="_GoBack"/>
      <w:bookmarkEnd w:id="5"/>
    </w:p>
    <w:p w14:paraId="5B2DF349">
      <w:pPr>
        <w:spacing w:line="540" w:lineRule="exact"/>
        <w:rPr>
          <w:rFonts w:ascii="仿宋_GB2312" w:eastAsia="仿宋_GB2312"/>
          <w:sz w:val="28"/>
          <w:szCs w:val="28"/>
        </w:rPr>
      </w:pPr>
      <w:r>
        <w:rPr>
          <w:rFonts w:hint="eastAsia" w:ascii="仿宋_GB2312" w:eastAsia="仿宋_GB2312"/>
          <w:sz w:val="28"/>
          <w:szCs w:val="28"/>
        </w:rPr>
        <w:t>1.投标人应根据采购文件内容，于2025年7月</w:t>
      </w:r>
      <w:r>
        <w:rPr>
          <w:rFonts w:hint="eastAsia" w:ascii="仿宋_GB2312" w:eastAsia="仿宋_GB2312"/>
          <w:sz w:val="28"/>
          <w:szCs w:val="28"/>
          <w:lang w:val="en-US" w:eastAsia="zh-CN"/>
        </w:rPr>
        <w:t>21</w:t>
      </w:r>
      <w:r>
        <w:rPr>
          <w:rFonts w:hint="eastAsia" w:ascii="仿宋_GB2312" w:eastAsia="仿宋_GB2312"/>
          <w:sz w:val="28"/>
          <w:szCs w:val="28"/>
        </w:rPr>
        <w:t>日14:30时间前向招标人递交投标文件，否则投标文件将被拒收。</w:t>
      </w:r>
    </w:p>
    <w:p w14:paraId="0CDB14CF">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2.投标文件须加盖单位公章密封后送至合肥市瑶海区明光路东方大厦22楼。</w:t>
      </w:r>
    </w:p>
    <w:p w14:paraId="4BBA0225">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3.逾期送达的或者未送达指定地点、未按采购文件密封的文件，不予接收。</w:t>
      </w:r>
    </w:p>
    <w:p w14:paraId="39F12114">
      <w:pPr>
        <w:pStyle w:val="9"/>
        <w:widowControl/>
        <w:spacing w:beforeAutospacing="0" w:afterAutospacing="0" w:line="540" w:lineRule="exact"/>
        <w:jc w:val="both"/>
        <w:outlineLvl w:val="1"/>
        <w:rPr>
          <w:rFonts w:ascii="仿宋_GB2312" w:eastAsia="仿宋_GB2312"/>
          <w:sz w:val="28"/>
          <w:szCs w:val="28"/>
        </w:rPr>
      </w:pPr>
      <w:r>
        <w:rPr>
          <w:rFonts w:hint="eastAsia" w:ascii="仿宋_GB2312" w:eastAsia="仿宋_GB2312"/>
          <w:sz w:val="28"/>
          <w:szCs w:val="28"/>
        </w:rPr>
        <w:t>4.开标时间：2025年7月</w:t>
      </w:r>
      <w:r>
        <w:rPr>
          <w:rFonts w:hint="eastAsia" w:ascii="仿宋_GB2312" w:eastAsia="仿宋_GB2312"/>
          <w:sz w:val="28"/>
          <w:szCs w:val="28"/>
          <w:lang w:val="en-US" w:eastAsia="zh-CN"/>
        </w:rPr>
        <w:t>21</w:t>
      </w:r>
      <w:r>
        <w:rPr>
          <w:rFonts w:hint="eastAsia" w:ascii="仿宋_GB2312" w:eastAsia="仿宋_GB2312"/>
          <w:sz w:val="28"/>
          <w:szCs w:val="28"/>
        </w:rPr>
        <w:t>日14:30</w:t>
      </w:r>
    </w:p>
    <w:p w14:paraId="728EDBB9">
      <w:pPr>
        <w:spacing w:line="560" w:lineRule="exact"/>
        <w:outlineLvl w:val="0"/>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6D9031C7">
      <w:pPr>
        <w:pStyle w:val="15"/>
      </w:pPr>
      <w:r>
        <w:rPr>
          <w:rFonts w:hint="eastAsia"/>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4FD29CF2">
      <w:pPr>
        <w:widowControl/>
        <w:spacing w:line="540" w:lineRule="exact"/>
        <w:jc w:val="left"/>
        <w:outlineLvl w:val="0"/>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5DDBE147">
      <w:pPr>
        <w:spacing w:line="540" w:lineRule="exact"/>
        <w:rPr>
          <w:rFonts w:ascii="仿宋_GB2312" w:eastAsia="仿宋_GB2312"/>
          <w:sz w:val="28"/>
          <w:szCs w:val="28"/>
        </w:rPr>
      </w:pPr>
      <w:r>
        <w:rPr>
          <w:rFonts w:hint="eastAsia" w:ascii="仿宋_GB2312" w:eastAsia="仿宋_GB2312"/>
          <w:sz w:val="28"/>
          <w:szCs w:val="28"/>
        </w:rPr>
        <w:t>地址：合肥市瑶海区明光路东方大厦22楼</w:t>
      </w:r>
    </w:p>
    <w:p w14:paraId="575E5A2D">
      <w:pPr>
        <w:spacing w:line="540" w:lineRule="exact"/>
        <w:rPr>
          <w:rFonts w:ascii="仿宋_GB2312" w:eastAsia="仿宋_GB2312"/>
          <w:sz w:val="28"/>
          <w:szCs w:val="28"/>
        </w:rPr>
      </w:pPr>
      <w:r>
        <w:rPr>
          <w:rFonts w:hint="eastAsia" w:ascii="仿宋_GB2312" w:eastAsia="仿宋_GB2312"/>
          <w:sz w:val="28"/>
          <w:szCs w:val="28"/>
        </w:rPr>
        <w:t>联系人：李俊</w:t>
      </w:r>
    </w:p>
    <w:p w14:paraId="59B65413">
      <w:pPr>
        <w:spacing w:line="540" w:lineRule="exact"/>
        <w:rPr>
          <w:rFonts w:ascii="仿宋_GB2312" w:eastAsia="仿宋_GB2312"/>
          <w:sz w:val="28"/>
          <w:szCs w:val="28"/>
        </w:rPr>
      </w:pPr>
      <w:r>
        <w:rPr>
          <w:rFonts w:hint="eastAsia" w:ascii="仿宋_GB2312" w:eastAsia="仿宋_GB2312"/>
          <w:sz w:val="28"/>
          <w:szCs w:val="28"/>
        </w:rPr>
        <w:t>电话：13013096733</w:t>
      </w:r>
    </w:p>
    <w:p w14:paraId="42C4540A">
      <w:pPr>
        <w:spacing w:line="540" w:lineRule="exact"/>
        <w:rPr>
          <w:rFonts w:ascii="仿宋_GB2312" w:eastAsia="仿宋_GB2312"/>
          <w:sz w:val="28"/>
          <w:szCs w:val="28"/>
        </w:rPr>
      </w:pPr>
    </w:p>
    <w:p w14:paraId="00D8D622">
      <w:pPr>
        <w:widowControl/>
        <w:spacing w:line="540" w:lineRule="exact"/>
        <w:ind w:firstLine="560" w:firstLineChars="200"/>
        <w:jc w:val="right"/>
        <w:rPr>
          <w:rFonts w:ascii="仿宋_GB2312" w:eastAsia="仿宋_GB2312"/>
          <w:sz w:val="28"/>
          <w:szCs w:val="28"/>
        </w:rPr>
      </w:pPr>
    </w:p>
    <w:p w14:paraId="199B894E">
      <w:pPr>
        <w:widowControl/>
        <w:spacing w:line="540" w:lineRule="exact"/>
        <w:ind w:firstLine="560" w:firstLineChars="200"/>
        <w:jc w:val="right"/>
        <w:rPr>
          <w:rFonts w:ascii="仿宋_GB2312" w:eastAsia="仿宋_GB2312"/>
          <w:sz w:val="28"/>
          <w:szCs w:val="28"/>
        </w:rPr>
      </w:pPr>
    </w:p>
    <w:p w14:paraId="7EEF3C97">
      <w:pPr>
        <w:widowControl/>
        <w:spacing w:line="540" w:lineRule="exact"/>
        <w:ind w:firstLine="560" w:firstLineChars="200"/>
        <w:jc w:val="right"/>
        <w:rPr>
          <w:rFonts w:ascii="仿宋_GB2312" w:eastAsia="仿宋_GB2312"/>
          <w:sz w:val="28"/>
          <w:szCs w:val="28"/>
        </w:rPr>
      </w:pPr>
      <w:r>
        <w:rPr>
          <w:rFonts w:hint="eastAsia" w:ascii="仿宋_GB2312" w:hAnsi="仿宋_GB2312" w:eastAsia="仿宋_GB2312" w:cs="仿宋_GB2312"/>
          <w:color w:val="000000"/>
          <w:sz w:val="28"/>
          <w:szCs w:val="28"/>
          <w:lang w:bidi="ar"/>
        </w:rPr>
        <w:t>合肥城市泊车投资管理有限公司</w:t>
      </w:r>
      <w:r>
        <w:rPr>
          <w:rFonts w:hint="eastAsia" w:ascii="仿宋_GB2312" w:eastAsia="仿宋_GB2312"/>
          <w:sz w:val="28"/>
          <w:szCs w:val="28"/>
        </w:rPr>
        <w:t xml:space="preserve">                                  2025年7月</w:t>
      </w:r>
      <w:r>
        <w:rPr>
          <w:rFonts w:hint="eastAsia" w:ascii="仿宋_GB2312" w:eastAsia="仿宋_GB2312"/>
          <w:sz w:val="28"/>
          <w:szCs w:val="28"/>
          <w:lang w:val="en-US" w:eastAsia="zh-CN"/>
        </w:rPr>
        <w:t>11</w:t>
      </w:r>
      <w:r>
        <w:rPr>
          <w:rFonts w:hint="eastAsia" w:ascii="仿宋_GB2312" w:eastAsia="仿宋_GB2312"/>
          <w:sz w:val="28"/>
          <w:szCs w:val="28"/>
        </w:rPr>
        <w:t>日</w:t>
      </w:r>
    </w:p>
    <w:p w14:paraId="3AF46E98">
      <w:pPr>
        <w:spacing w:line="540" w:lineRule="exact"/>
        <w:rPr>
          <w:rFonts w:ascii="仿宋_GB2312" w:eastAsia="仿宋_GB2312"/>
          <w:sz w:val="28"/>
          <w:szCs w:val="28"/>
        </w:rPr>
      </w:pPr>
    </w:p>
    <w:p w14:paraId="4E439782">
      <w:pPr>
        <w:spacing w:line="540" w:lineRule="exact"/>
        <w:rPr>
          <w:rFonts w:ascii="仿宋_GB2312" w:eastAsia="仿宋_GB2312"/>
          <w:sz w:val="28"/>
          <w:szCs w:val="28"/>
        </w:rPr>
      </w:pPr>
    </w:p>
    <w:p w14:paraId="12182B59">
      <w:pPr>
        <w:spacing w:line="540" w:lineRule="exact"/>
        <w:rPr>
          <w:rFonts w:ascii="仿宋_GB2312" w:eastAsia="仿宋_GB2312"/>
          <w:sz w:val="28"/>
          <w:szCs w:val="28"/>
        </w:rPr>
      </w:pPr>
    </w:p>
    <w:p w14:paraId="4443B5FF">
      <w:pPr>
        <w:spacing w:line="540" w:lineRule="exact"/>
        <w:rPr>
          <w:rFonts w:ascii="仿宋_GB2312" w:eastAsia="仿宋_GB2312"/>
          <w:sz w:val="28"/>
          <w:szCs w:val="28"/>
        </w:rPr>
      </w:pPr>
    </w:p>
    <w:p w14:paraId="74A9C81B">
      <w:pPr>
        <w:spacing w:line="540" w:lineRule="exact"/>
        <w:rPr>
          <w:rFonts w:ascii="仿宋_GB2312" w:eastAsia="仿宋_GB2312"/>
          <w:sz w:val="28"/>
          <w:szCs w:val="28"/>
        </w:rPr>
      </w:pPr>
      <w:r>
        <w:rPr>
          <w:rFonts w:hint="eastAsia" w:ascii="仿宋_GB2312" w:eastAsia="仿宋_GB2312"/>
          <w:sz w:val="28"/>
          <w:szCs w:val="28"/>
        </w:rPr>
        <w:t>附件：1.投标函</w:t>
      </w:r>
    </w:p>
    <w:p w14:paraId="306EB729">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22756368">
      <w:pPr>
        <w:pStyle w:val="9"/>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0C735983">
      <w:pPr>
        <w:spacing w:line="540" w:lineRule="exact"/>
        <w:ind w:firstLine="840" w:firstLineChars="300"/>
        <w:rPr>
          <w:rFonts w:ascii="仿宋_GB2312" w:eastAsia="仿宋_GB2312"/>
          <w:sz w:val="28"/>
          <w:szCs w:val="28"/>
        </w:rPr>
      </w:pPr>
      <w:r>
        <w:rPr>
          <w:rFonts w:hint="eastAsia" w:ascii="仿宋_GB2312" w:eastAsia="仿宋_GB2312"/>
          <w:sz w:val="28"/>
          <w:szCs w:val="28"/>
        </w:rPr>
        <w:t>4.授权委托书</w:t>
      </w:r>
    </w:p>
    <w:p w14:paraId="403DAA11">
      <w:pPr>
        <w:spacing w:line="540" w:lineRule="exact"/>
        <w:ind w:firstLine="840" w:firstLineChars="300"/>
        <w:rPr>
          <w:rFonts w:ascii="仿宋_GB2312" w:eastAsia="仿宋_GB2312"/>
          <w:sz w:val="28"/>
          <w:szCs w:val="28"/>
        </w:rPr>
      </w:pPr>
      <w:r>
        <w:rPr>
          <w:rFonts w:hint="eastAsia" w:ascii="仿宋_GB2312" w:eastAsia="仿宋_GB2312"/>
          <w:sz w:val="28"/>
          <w:szCs w:val="28"/>
        </w:rPr>
        <w:t>5.维保人员配备及拟任项目负责人资格证书</w:t>
      </w:r>
    </w:p>
    <w:p w14:paraId="18B21FDA">
      <w:pPr>
        <w:spacing w:line="540" w:lineRule="exact"/>
        <w:ind w:firstLine="840" w:firstLineChars="300"/>
        <w:rPr>
          <w:rFonts w:ascii="仿宋_GB2312" w:eastAsia="仿宋_GB2312"/>
          <w:sz w:val="28"/>
          <w:szCs w:val="28"/>
        </w:rPr>
      </w:pPr>
      <w:r>
        <w:rPr>
          <w:rFonts w:hint="eastAsia" w:ascii="仿宋_GB2312" w:eastAsia="仿宋_GB2312"/>
          <w:sz w:val="28"/>
          <w:szCs w:val="28"/>
        </w:rPr>
        <w:t>6.无不良征信承诺书</w:t>
      </w:r>
    </w:p>
    <w:p w14:paraId="047CA13A">
      <w:pPr>
        <w:pStyle w:val="4"/>
        <w:ind w:firstLine="840" w:firstLineChars="300"/>
      </w:pPr>
      <w:r>
        <w:rPr>
          <w:rFonts w:hint="eastAsia"/>
        </w:rPr>
        <w:t>7.</w:t>
      </w:r>
      <w:r>
        <w:rPr>
          <w:rFonts w:hint="eastAsia" w:ascii="仿宋_GB2312" w:eastAsia="仿宋_GB2312" w:hAnsiTheme="minorHAnsi"/>
          <w:szCs w:val="28"/>
        </w:rPr>
        <w:t>详细评审表</w:t>
      </w:r>
    </w:p>
    <w:p w14:paraId="3C41D5EF">
      <w:pPr>
        <w:spacing w:line="540" w:lineRule="exact"/>
        <w:ind w:firstLine="840" w:firstLineChars="300"/>
        <w:rPr>
          <w:rFonts w:ascii="仿宋_GB2312" w:eastAsia="仿宋_GB2312"/>
          <w:sz w:val="28"/>
          <w:szCs w:val="28"/>
        </w:rPr>
      </w:pPr>
      <w:r>
        <w:rPr>
          <w:rFonts w:hint="eastAsia" w:ascii="仿宋_GB2312" w:eastAsia="仿宋_GB2312"/>
          <w:sz w:val="28"/>
          <w:szCs w:val="28"/>
        </w:rPr>
        <w:t>8</w:t>
      </w:r>
      <w:r>
        <w:rPr>
          <w:rFonts w:ascii="仿宋_GB2312" w:eastAsia="仿宋_GB2312"/>
          <w:sz w:val="28"/>
          <w:szCs w:val="28"/>
        </w:rPr>
        <w:t>.合同</w:t>
      </w:r>
    </w:p>
    <w:p w14:paraId="44B8FD94">
      <w:pPr>
        <w:spacing w:line="540" w:lineRule="exact"/>
        <w:rPr>
          <w:rFonts w:ascii="仿宋_GB2312" w:eastAsia="仿宋_GB2312"/>
          <w:sz w:val="28"/>
          <w:szCs w:val="28"/>
        </w:rPr>
      </w:pPr>
    </w:p>
    <w:p w14:paraId="64EA2F44">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72DB73E7">
      <w:pPr>
        <w:outlineLvl w:val="1"/>
        <w:rPr>
          <w:rFonts w:ascii="仿宋_GB2312" w:eastAsia="仿宋_GB2312"/>
          <w:sz w:val="32"/>
          <w:szCs w:val="32"/>
        </w:rPr>
      </w:pPr>
      <w:r>
        <w:rPr>
          <w:rFonts w:hint="eastAsia" w:ascii="仿宋_GB2312" w:eastAsia="仿宋_GB2312"/>
          <w:sz w:val="32"/>
          <w:szCs w:val="32"/>
        </w:rPr>
        <w:t>附件1</w:t>
      </w:r>
    </w:p>
    <w:p w14:paraId="67FA5FCC">
      <w:pPr>
        <w:pStyle w:val="9"/>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0B3A111F">
      <w:pPr>
        <w:pStyle w:val="9"/>
        <w:widowControl/>
        <w:spacing w:beforeAutospacing="0" w:afterAutospacing="0" w:line="460" w:lineRule="exact"/>
        <w:jc w:val="both"/>
        <w:rPr>
          <w:rFonts w:ascii="仿宋_GB2312" w:eastAsia="仿宋_GB2312"/>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lang w:bidi="ar"/>
        </w:rPr>
        <w:t>合肥城市泊车投资管理有限公司</w:t>
      </w:r>
    </w:p>
    <w:p w14:paraId="4DAF76F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经研究合肥城市泊车投资管理有限公司</w:t>
      </w:r>
      <w:r>
        <w:rPr>
          <w:rFonts w:hint="eastAsia" w:ascii="仿宋_GB2312" w:hAnsi="仿宋_GB2312" w:eastAsia="仿宋_GB2312" w:cs="仿宋_GB2312"/>
          <w:kern w:val="0"/>
          <w:position w:val="-1"/>
          <w:sz w:val="28"/>
          <w:szCs w:val="28"/>
          <w:u w:val="single"/>
        </w:rPr>
        <w:t>合肥市</w:t>
      </w:r>
      <w:r>
        <w:rPr>
          <w:rFonts w:hint="eastAsia" w:ascii="仿宋_GB2312" w:hAnsi="仿宋_GB2312" w:eastAsia="仿宋_GB2312" w:cs="仿宋_GB2312"/>
          <w:color w:val="000000"/>
          <w:sz w:val="28"/>
          <w:szCs w:val="28"/>
          <w:u w:val="single"/>
          <w:lang w:bidi="ar"/>
        </w:rPr>
        <w:t>经开区大学城地下空间西广场停车场消防设施设备维保服务</w:t>
      </w:r>
      <w:r>
        <w:rPr>
          <w:rFonts w:hint="eastAsia" w:ascii="仿宋_GB2312" w:hAnsi="仿宋_GB2312" w:eastAsia="仿宋_GB2312" w:cs="仿宋_GB2312"/>
          <w:kern w:val="0"/>
          <w:position w:val="-1"/>
          <w:sz w:val="28"/>
          <w:szCs w:val="28"/>
        </w:rPr>
        <w:t>采购文件、了解了项目情况后，我单位愿意遵照采购文件中的要求并按照报价单要求进行报价，保质保量完成该项目期限内的相关服务</w:t>
      </w:r>
    </w:p>
    <w:p w14:paraId="5F742ECF">
      <w:pPr>
        <w:spacing w:line="460" w:lineRule="exact"/>
        <w:ind w:firstLine="560" w:firstLineChars="200"/>
        <w:outlineLvl w:val="1"/>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07349AD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0823C85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5FC9CD4E">
      <w:pPr>
        <w:spacing w:line="460" w:lineRule="exact"/>
        <w:ind w:firstLine="560" w:firstLineChars="200"/>
        <w:outlineLvl w:val="1"/>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5BD6146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3ED9C946">
      <w:pPr>
        <w:spacing w:line="460" w:lineRule="exact"/>
        <w:ind w:firstLine="560" w:firstLineChars="200"/>
        <w:outlineLvl w:val="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440B670F">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047D821F">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5DF5804E">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E480E26">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1D538B2B">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290EAF6A">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336C313A">
      <w:pPr>
        <w:spacing w:line="460" w:lineRule="exact"/>
        <w:ind w:firstLine="4200" w:firstLineChars="15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58A94EFE">
      <w:pPr>
        <w:spacing w:line="460" w:lineRule="exact"/>
        <w:ind w:firstLine="560" w:firstLineChars="200"/>
        <w:jc w:val="right"/>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法定负责人(或授权代理人)：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724846B4">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59CD5ED3">
      <w:pPr>
        <w:rPr>
          <w:rFonts w:ascii="仿宋_GB2312" w:eastAsia="仿宋_GB2312"/>
          <w:sz w:val="32"/>
          <w:szCs w:val="32"/>
        </w:rPr>
      </w:pPr>
      <w:r>
        <w:rPr>
          <w:rFonts w:hint="eastAsia" w:ascii="仿宋_GB2312" w:eastAsia="仿宋_GB2312"/>
          <w:sz w:val="32"/>
          <w:szCs w:val="32"/>
        </w:rPr>
        <w:t xml:space="preserve">附件2                </w:t>
      </w:r>
    </w:p>
    <w:p w14:paraId="36BBB32C">
      <w:pPr>
        <w:ind w:firstLine="2240" w:firstLineChars="700"/>
        <w:rPr>
          <w:rFonts w:ascii="仿宋_GB2312" w:hAnsi="仿宋_GB2312" w:eastAsia="仿宋_GB2312" w:cs="仿宋_GB2312"/>
          <w:b/>
          <w:sz w:val="28"/>
          <w:szCs w:val="28"/>
        </w:rPr>
      </w:pPr>
      <w:r>
        <w:rPr>
          <w:rFonts w:hint="eastAsia" w:ascii="仿宋_GB2312" w:eastAsia="仿宋_GB2312"/>
          <w:sz w:val="32"/>
          <w:szCs w:val="32"/>
        </w:rPr>
        <w:t xml:space="preserve">     </w:t>
      </w:r>
      <w:r>
        <w:rPr>
          <w:rFonts w:hint="eastAsia" w:ascii="仿宋_GB2312" w:hAnsi="仿宋_GB2312" w:eastAsia="仿宋_GB2312" w:cs="仿宋_GB2312"/>
          <w:b/>
          <w:bCs/>
          <w:kern w:val="0"/>
          <w:sz w:val="32"/>
          <w:szCs w:val="32"/>
          <w:lang w:bidi="ar"/>
        </w:rPr>
        <w:t>报价单</w:t>
      </w:r>
    </w:p>
    <w:p w14:paraId="59D575C0">
      <w:pPr>
        <w:tabs>
          <w:tab w:val="left" w:pos="2410"/>
        </w:tabs>
        <w:autoSpaceDE w:val="0"/>
        <w:autoSpaceDN w:val="0"/>
        <w:adjustRightInd w:val="0"/>
        <w:snapToGrid w:val="0"/>
        <w:spacing w:line="360" w:lineRule="auto"/>
        <w:rPr>
          <w:rFonts w:ascii="仿宋_GB2312" w:hAnsi="仿宋_GB2312" w:eastAsia="仿宋_GB2312" w:cs="仿宋_GB2312"/>
          <w:bCs/>
          <w:sz w:val="28"/>
          <w:szCs w:val="28"/>
        </w:rPr>
      </w:pP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开标一览表</w:t>
      </w:r>
      <w:r>
        <w:rPr>
          <w:rFonts w:hint="eastAsia" w:ascii="仿宋_GB2312" w:hAnsi="仿宋_GB2312" w:eastAsia="仿宋_GB2312" w:cs="仿宋_GB2312"/>
          <w:bCs/>
          <w:sz w:val="28"/>
          <w:szCs w:val="28"/>
        </w:rPr>
        <w:t>:                       项目编号：</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6745"/>
      </w:tblGrid>
      <w:tr w14:paraId="506D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7" w:type="dxa"/>
          </w:tcPr>
          <w:p w14:paraId="6D132DA0">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投标人：</w:t>
            </w:r>
          </w:p>
        </w:tc>
        <w:tc>
          <w:tcPr>
            <w:tcW w:w="6745" w:type="dxa"/>
          </w:tcPr>
          <w:p w14:paraId="13CA3C07">
            <w:pPr>
              <w:pStyle w:val="5"/>
              <w:spacing w:line="480" w:lineRule="exact"/>
              <w:ind w:firstLine="0"/>
              <w:jc w:val="left"/>
              <w:rPr>
                <w:rFonts w:ascii="仿宋_GB2312" w:hAnsi="仿宋_GB2312" w:eastAsia="仿宋_GB2312" w:cs="仿宋_GB2312"/>
                <w:bCs/>
                <w:szCs w:val="28"/>
              </w:rPr>
            </w:pPr>
          </w:p>
        </w:tc>
      </w:tr>
      <w:tr w14:paraId="1723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175659D5">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项目名称:</w:t>
            </w:r>
          </w:p>
        </w:tc>
        <w:tc>
          <w:tcPr>
            <w:tcW w:w="6745" w:type="dxa"/>
          </w:tcPr>
          <w:p w14:paraId="66C10D2E">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合肥市</w:t>
            </w:r>
            <w:r>
              <w:rPr>
                <w:rFonts w:hint="eastAsia" w:ascii="仿宋_GB2312" w:hAnsi="仿宋_GB2312" w:eastAsia="仿宋_GB2312" w:cs="仿宋_GB2312"/>
                <w:bCs/>
                <w:szCs w:val="28"/>
                <w:lang w:bidi="ar"/>
              </w:rPr>
              <w:t>经开区大学城地下空间西广场停车场消防设施设备维保服务项目</w:t>
            </w:r>
          </w:p>
        </w:tc>
      </w:tr>
      <w:tr w14:paraId="64FC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777" w:type="dxa"/>
          </w:tcPr>
          <w:p w14:paraId="47B981DE">
            <w:pPr>
              <w:pStyle w:val="5"/>
              <w:spacing w:line="480" w:lineRule="exact"/>
              <w:ind w:firstLine="0"/>
              <w:jc w:val="left"/>
              <w:rPr>
                <w:rFonts w:ascii="仿宋_GB2312" w:hAnsi="仿宋_GB2312" w:eastAsia="仿宋_GB2312" w:cs="仿宋_GB2312"/>
                <w:bCs/>
                <w:szCs w:val="28"/>
              </w:rPr>
            </w:pPr>
          </w:p>
          <w:p w14:paraId="32B7FB6A">
            <w:pPr>
              <w:pStyle w:val="5"/>
              <w:spacing w:line="480" w:lineRule="exact"/>
              <w:ind w:firstLine="0"/>
              <w:jc w:val="left"/>
              <w:rPr>
                <w:rFonts w:ascii="仿宋_GB2312" w:hAnsi="仿宋_GB2312" w:eastAsia="仿宋_GB2312" w:cs="仿宋_GB2312"/>
                <w:bCs/>
                <w:szCs w:val="28"/>
              </w:rPr>
            </w:pPr>
          </w:p>
          <w:p w14:paraId="5734DC36">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投标报价：</w:t>
            </w:r>
          </w:p>
        </w:tc>
        <w:tc>
          <w:tcPr>
            <w:tcW w:w="6745" w:type="dxa"/>
          </w:tcPr>
          <w:p w14:paraId="21F0E121">
            <w:pPr>
              <w:pStyle w:val="5"/>
              <w:spacing w:line="480" w:lineRule="exact"/>
              <w:ind w:firstLine="0"/>
              <w:jc w:val="left"/>
              <w:rPr>
                <w:rFonts w:ascii="仿宋_GB2312" w:hAnsi="仿宋_GB2312" w:eastAsia="仿宋_GB2312" w:cs="仿宋_GB2312"/>
                <w:bCs/>
                <w:szCs w:val="28"/>
              </w:rPr>
            </w:pPr>
          </w:p>
          <w:p w14:paraId="30F97CD7">
            <w:pPr>
              <w:pStyle w:val="5"/>
              <w:spacing w:line="480" w:lineRule="exact"/>
              <w:ind w:firstLine="0"/>
              <w:jc w:val="left"/>
              <w:rPr>
                <w:rFonts w:ascii="仿宋_GB2312" w:hAnsi="仿宋_GB2312" w:eastAsia="仿宋_GB2312" w:cs="仿宋_GB2312"/>
                <w:bCs/>
                <w:szCs w:val="28"/>
              </w:rPr>
            </w:pPr>
          </w:p>
          <w:p w14:paraId="6E371361">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 xml:space="preserve">含税总报价： </w:t>
            </w:r>
            <w:r>
              <w:rPr>
                <w:rFonts w:ascii="仿宋_GB2312" w:hAnsi="仿宋_GB2312" w:eastAsia="仿宋_GB2312" w:cs="仿宋_GB2312"/>
                <w:bCs/>
                <w:szCs w:val="28"/>
              </w:rPr>
              <w:t xml:space="preserve">           </w:t>
            </w:r>
            <w:r>
              <w:rPr>
                <w:rFonts w:hint="eastAsia" w:ascii="仿宋_GB2312" w:hAnsi="仿宋_GB2312" w:eastAsia="仿宋_GB2312" w:cs="仿宋_GB2312"/>
                <w:bCs/>
                <w:szCs w:val="28"/>
              </w:rPr>
              <w:t xml:space="preserve">（大写：        ）                                  </w:t>
            </w:r>
          </w:p>
          <w:p w14:paraId="51EF50D2">
            <w:pPr>
              <w:pStyle w:val="5"/>
              <w:spacing w:line="480" w:lineRule="exact"/>
              <w:ind w:firstLine="0"/>
              <w:jc w:val="left"/>
              <w:rPr>
                <w:rFonts w:ascii="仿宋_GB2312" w:hAnsi="仿宋_GB2312" w:eastAsia="仿宋_GB2312" w:cs="仿宋_GB2312"/>
                <w:bCs/>
                <w:szCs w:val="28"/>
              </w:rPr>
            </w:pPr>
          </w:p>
        </w:tc>
      </w:tr>
      <w:tr w14:paraId="4FD5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4216949C">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质量标准</w:t>
            </w:r>
          </w:p>
        </w:tc>
        <w:tc>
          <w:tcPr>
            <w:tcW w:w="6745" w:type="dxa"/>
          </w:tcPr>
          <w:p w14:paraId="774FEA21">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出具国家承认检测报告</w:t>
            </w:r>
          </w:p>
        </w:tc>
      </w:tr>
      <w:tr w14:paraId="6391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5A76969E">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优惠条件</w:t>
            </w:r>
          </w:p>
        </w:tc>
        <w:tc>
          <w:tcPr>
            <w:tcW w:w="6745" w:type="dxa"/>
          </w:tcPr>
          <w:p w14:paraId="127D14C0">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无</w:t>
            </w:r>
          </w:p>
        </w:tc>
      </w:tr>
      <w:tr w14:paraId="5FAF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6B4E5222">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付款要求</w:t>
            </w:r>
          </w:p>
        </w:tc>
        <w:tc>
          <w:tcPr>
            <w:tcW w:w="6745" w:type="dxa"/>
          </w:tcPr>
          <w:p w14:paraId="36B1D7C4">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开具增值税专用发票</w:t>
            </w:r>
          </w:p>
        </w:tc>
      </w:tr>
      <w:tr w14:paraId="0B48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621B93FB">
            <w:pPr>
              <w:pStyle w:val="5"/>
              <w:spacing w:line="480" w:lineRule="exact"/>
              <w:ind w:firstLine="0"/>
              <w:jc w:val="left"/>
              <w:rPr>
                <w:rFonts w:ascii="仿宋_GB2312" w:hAnsi="仿宋_GB2312" w:eastAsia="仿宋_GB2312" w:cs="仿宋_GB2312"/>
                <w:bCs/>
                <w:szCs w:val="28"/>
              </w:rPr>
            </w:pPr>
            <w:r>
              <w:rPr>
                <w:rFonts w:hint="eastAsia" w:ascii="仿宋_GB2312" w:hAnsi="仿宋_GB2312" w:eastAsia="仿宋_GB2312" w:cs="仿宋_GB2312"/>
                <w:bCs/>
                <w:szCs w:val="28"/>
              </w:rPr>
              <w:t>项目负责人</w:t>
            </w:r>
          </w:p>
        </w:tc>
        <w:tc>
          <w:tcPr>
            <w:tcW w:w="6745" w:type="dxa"/>
          </w:tcPr>
          <w:p w14:paraId="5708E511">
            <w:pPr>
              <w:pStyle w:val="5"/>
              <w:spacing w:line="480" w:lineRule="exact"/>
              <w:ind w:firstLine="0"/>
              <w:jc w:val="left"/>
              <w:rPr>
                <w:rFonts w:ascii="仿宋_GB2312" w:hAnsi="仿宋_GB2312" w:eastAsia="仿宋_GB2312" w:cs="仿宋_GB2312"/>
                <w:bCs/>
                <w:szCs w:val="28"/>
              </w:rPr>
            </w:pPr>
          </w:p>
        </w:tc>
      </w:tr>
      <w:tr w14:paraId="44E2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8522" w:type="dxa"/>
            <w:gridSpan w:val="2"/>
          </w:tcPr>
          <w:p w14:paraId="7A0A2F4E">
            <w:pPr>
              <w:pStyle w:val="5"/>
              <w:spacing w:line="480" w:lineRule="exact"/>
              <w:ind w:firstLine="0"/>
              <w:jc w:val="left"/>
              <w:rPr>
                <w:rFonts w:ascii="仿宋_GB2312" w:hAnsi="仿宋_GB2312" w:eastAsia="仿宋_GB2312" w:cs="仿宋_GB2312"/>
                <w:bCs/>
                <w:szCs w:val="28"/>
              </w:rPr>
            </w:pPr>
          </w:p>
          <w:p w14:paraId="73C5B4C6">
            <w:pPr>
              <w:pStyle w:val="5"/>
              <w:spacing w:line="480" w:lineRule="exact"/>
              <w:ind w:firstLine="3200" w:firstLineChars="1000"/>
              <w:jc w:val="left"/>
              <w:rPr>
                <w:rFonts w:ascii="仿宋_GB2312" w:hAnsi="仿宋_GB2312" w:eastAsia="仿宋_GB2312" w:cs="仿宋_GB2312"/>
                <w:bCs/>
                <w:szCs w:val="28"/>
              </w:rPr>
            </w:pPr>
          </w:p>
          <w:p w14:paraId="02B51070">
            <w:pPr>
              <w:pStyle w:val="5"/>
              <w:spacing w:line="480" w:lineRule="exact"/>
              <w:ind w:firstLine="3200" w:firstLineChars="1000"/>
              <w:jc w:val="left"/>
              <w:rPr>
                <w:rFonts w:ascii="仿宋_GB2312" w:hAnsi="仿宋_GB2312" w:eastAsia="仿宋_GB2312" w:cs="仿宋_GB2312"/>
                <w:bCs/>
                <w:szCs w:val="28"/>
              </w:rPr>
            </w:pPr>
            <w:r>
              <w:rPr>
                <w:rFonts w:hint="eastAsia" w:ascii="仿宋_GB2312" w:hAnsi="仿宋_GB2312" w:eastAsia="仿宋_GB2312" w:cs="仿宋_GB2312"/>
                <w:bCs/>
                <w:szCs w:val="28"/>
              </w:rPr>
              <w:t>投标人（单位全称并盖章）：</w:t>
            </w:r>
          </w:p>
          <w:p w14:paraId="77443994">
            <w:pPr>
              <w:pStyle w:val="5"/>
              <w:spacing w:line="480" w:lineRule="exact"/>
              <w:ind w:firstLine="4480" w:firstLineChars="1400"/>
              <w:jc w:val="left"/>
              <w:rPr>
                <w:rFonts w:ascii="仿宋_GB2312" w:hAnsi="仿宋_GB2312" w:eastAsia="仿宋_GB2312" w:cs="仿宋_GB2312"/>
                <w:bCs/>
                <w:szCs w:val="28"/>
              </w:rPr>
            </w:pPr>
          </w:p>
          <w:p w14:paraId="0F61D902">
            <w:pPr>
              <w:pStyle w:val="5"/>
              <w:spacing w:line="480" w:lineRule="exact"/>
              <w:ind w:firstLine="960" w:firstLineChars="300"/>
              <w:jc w:val="left"/>
              <w:rPr>
                <w:rFonts w:ascii="仿宋_GB2312" w:hAnsi="仿宋_GB2312" w:eastAsia="仿宋_GB2312" w:cs="仿宋_GB2312"/>
                <w:bCs/>
                <w:szCs w:val="28"/>
              </w:rPr>
            </w:pPr>
            <w:r>
              <w:rPr>
                <w:rFonts w:hint="eastAsia" w:ascii="仿宋_GB2312" w:hAnsi="仿宋_GB2312" w:eastAsia="仿宋_GB2312" w:cs="仿宋_GB2312"/>
                <w:bCs/>
                <w:szCs w:val="28"/>
              </w:rPr>
              <w:t>法定代表人或其授权代理人（签字或盖章）:</w:t>
            </w:r>
          </w:p>
          <w:p w14:paraId="37CEDE0B">
            <w:pPr>
              <w:pStyle w:val="5"/>
              <w:spacing w:line="480" w:lineRule="exact"/>
              <w:ind w:firstLine="960" w:firstLineChars="300"/>
              <w:jc w:val="left"/>
              <w:rPr>
                <w:rFonts w:ascii="仿宋_GB2312" w:hAnsi="仿宋_GB2312" w:eastAsia="仿宋_GB2312" w:cs="仿宋_GB2312"/>
                <w:bCs/>
                <w:szCs w:val="28"/>
              </w:rPr>
            </w:pPr>
          </w:p>
          <w:p w14:paraId="16292E4E">
            <w:pPr>
              <w:pStyle w:val="5"/>
              <w:spacing w:line="480" w:lineRule="exact"/>
              <w:ind w:firstLine="1280" w:firstLineChars="400"/>
              <w:jc w:val="left"/>
              <w:rPr>
                <w:rFonts w:ascii="仿宋_GB2312" w:hAnsi="仿宋_GB2312" w:eastAsia="仿宋_GB2312" w:cs="仿宋_GB2312"/>
                <w:bCs/>
                <w:szCs w:val="28"/>
              </w:rPr>
            </w:pPr>
            <w:r>
              <w:rPr>
                <w:rFonts w:hint="eastAsia" w:ascii="仿宋_GB2312" w:hAnsi="仿宋_GB2312" w:eastAsia="仿宋_GB2312" w:cs="仿宋_GB2312"/>
                <w:bCs/>
                <w:szCs w:val="28"/>
              </w:rPr>
              <w:t xml:space="preserve">                   2025年      月      日</w:t>
            </w:r>
          </w:p>
        </w:tc>
      </w:tr>
    </w:tbl>
    <w:p w14:paraId="32D0FD8B">
      <w:pPr>
        <w:spacing w:line="440" w:lineRule="exact"/>
        <w:rPr>
          <w:rFonts w:ascii="仿宋_GB2312" w:hAnsi="仿宋_GB2312" w:eastAsia="仿宋_GB2312" w:cs="仿宋_GB2312"/>
          <w:bCs/>
          <w:sz w:val="28"/>
          <w:szCs w:val="28"/>
        </w:rPr>
      </w:pPr>
    </w:p>
    <w:p w14:paraId="169B8FB2">
      <w:pPr>
        <w:numPr>
          <w:ilvl w:val="255"/>
          <w:numId w:val="0"/>
        </w:numPr>
        <w:jc w:val="left"/>
        <w:rPr>
          <w:rFonts w:ascii="仿宋_GB2312" w:hAnsi="仿宋_GB2312" w:eastAsia="仿宋_GB2312" w:cs="仿宋_GB2312"/>
          <w:b/>
          <w:sz w:val="28"/>
          <w:szCs w:val="28"/>
        </w:rPr>
      </w:pPr>
    </w:p>
    <w:p w14:paraId="68E45D1A">
      <w:pPr>
        <w:numPr>
          <w:ilvl w:val="255"/>
          <w:numId w:val="0"/>
        </w:numPr>
        <w:jc w:val="left"/>
        <w:rPr>
          <w:rFonts w:ascii="仿宋_GB2312" w:hAnsi="仿宋_GB2312" w:eastAsia="仿宋_GB2312" w:cs="仿宋_GB2312"/>
          <w:b/>
          <w:sz w:val="28"/>
          <w:szCs w:val="28"/>
        </w:rPr>
      </w:pPr>
    </w:p>
    <w:p w14:paraId="1BD4AC8D">
      <w:pPr>
        <w:numPr>
          <w:ilvl w:val="255"/>
          <w:numId w:val="0"/>
        </w:numPr>
        <w:jc w:val="left"/>
        <w:rPr>
          <w:rFonts w:ascii="仿宋_GB2312" w:hAnsi="仿宋_GB2312" w:eastAsia="仿宋_GB2312" w:cs="仿宋_GB2312"/>
          <w:b/>
          <w:sz w:val="28"/>
          <w:szCs w:val="28"/>
        </w:rPr>
      </w:pPr>
    </w:p>
    <w:p w14:paraId="48EC6B99">
      <w:pPr>
        <w:tabs>
          <w:tab w:val="left" w:pos="312"/>
        </w:tabs>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 xml:space="preserve">.2 </w:t>
      </w:r>
      <w:r>
        <w:rPr>
          <w:rFonts w:hint="eastAsia" w:ascii="仿宋_GB2312" w:hAnsi="仿宋_GB2312" w:eastAsia="仿宋_GB2312" w:cs="仿宋_GB2312"/>
          <w:b/>
          <w:sz w:val="28"/>
          <w:szCs w:val="28"/>
        </w:rPr>
        <w:t>分项报价表</w:t>
      </w:r>
    </w:p>
    <w:p w14:paraId="30E8A646">
      <w:pPr>
        <w:jc w:val="left"/>
        <w:rPr>
          <w:rFonts w:ascii="仿宋_GB2312" w:hAnsi="仿宋_GB2312" w:eastAsia="仿宋_GB2312" w:cs="仿宋_GB2312"/>
          <w:b/>
          <w:sz w:val="28"/>
          <w:szCs w:val="28"/>
        </w:rPr>
      </w:pPr>
    </w:p>
    <w:tbl>
      <w:tblPr>
        <w:tblStyle w:val="11"/>
        <w:tblW w:w="8905" w:type="dxa"/>
        <w:tblInd w:w="0" w:type="dxa"/>
        <w:tblLayout w:type="fixed"/>
        <w:tblCellMar>
          <w:top w:w="0" w:type="dxa"/>
          <w:left w:w="0" w:type="dxa"/>
          <w:bottom w:w="0" w:type="dxa"/>
          <w:right w:w="0" w:type="dxa"/>
        </w:tblCellMar>
      </w:tblPr>
      <w:tblGrid>
        <w:gridCol w:w="2470"/>
        <w:gridCol w:w="1839"/>
        <w:gridCol w:w="1297"/>
        <w:gridCol w:w="1262"/>
        <w:gridCol w:w="2037"/>
      </w:tblGrid>
      <w:tr w14:paraId="69641FE3">
        <w:trPr>
          <w:trHeight w:val="891" w:hRule="atLeast"/>
        </w:trPr>
        <w:tc>
          <w:tcPr>
            <w:tcW w:w="890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F8F2A">
            <w:pPr>
              <w:pStyle w:val="5"/>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lang w:bidi="ar"/>
              </w:rPr>
              <w:t>分项报价表</w:t>
            </w:r>
          </w:p>
        </w:tc>
      </w:tr>
      <w:tr w14:paraId="3B9BA29F">
        <w:tblPrEx>
          <w:tblCellMar>
            <w:top w:w="0" w:type="dxa"/>
            <w:left w:w="0" w:type="dxa"/>
            <w:bottom w:w="0" w:type="dxa"/>
            <w:right w:w="0" w:type="dxa"/>
          </w:tblCellMar>
        </w:tblPrEx>
        <w:trPr>
          <w:trHeight w:val="1464"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83B4E">
            <w:pPr>
              <w:pStyle w:val="5"/>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项目名称</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7F222">
            <w:pPr>
              <w:pStyle w:val="5"/>
              <w:tabs>
                <w:tab w:val="left" w:pos="288"/>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建筑面积</w:t>
            </w: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0D12C">
            <w:pPr>
              <w:pStyle w:val="5"/>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单位</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5887D">
            <w:pPr>
              <w:pStyle w:val="5"/>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lang w:bidi="ar"/>
              </w:rPr>
              <w:t>单价</w:t>
            </w: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1CE7F">
            <w:pPr>
              <w:pStyle w:val="5"/>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lang w:bidi="ar"/>
              </w:rPr>
              <w:t>总价</w:t>
            </w:r>
          </w:p>
        </w:tc>
      </w:tr>
      <w:tr w14:paraId="38919DAE">
        <w:tblPrEx>
          <w:tblCellMar>
            <w:top w:w="0" w:type="dxa"/>
            <w:left w:w="0" w:type="dxa"/>
            <w:bottom w:w="0" w:type="dxa"/>
            <w:right w:w="0" w:type="dxa"/>
          </w:tblCellMar>
        </w:tblPrEx>
        <w:trPr>
          <w:trHeight w:val="668"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A8859">
            <w:pPr>
              <w:pStyle w:val="5"/>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大学城地下空间西广场停车场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DAF52">
            <w:pPr>
              <w:pStyle w:val="5"/>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22603</w:t>
            </w: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BD9B2">
            <w:pPr>
              <w:pStyle w:val="5"/>
              <w:tabs>
                <w:tab w:val="left" w:pos="705"/>
              </w:tabs>
              <w:spacing w:line="480" w:lineRule="exact"/>
              <w:ind w:firstLine="0"/>
              <w:jc w:val="center"/>
              <w:rPr>
                <w:rFonts w:ascii="仿宋_GB2312" w:hAnsi="仿宋_GB2312" w:eastAsia="仿宋_GB2312" w:cs="仿宋_GB2312"/>
                <w:bCs/>
                <w:szCs w:val="28"/>
              </w:rPr>
            </w:pPr>
            <w:bookmarkStart w:id="0" w:name="OLE_LINK1"/>
            <w:r>
              <w:rPr>
                <w:rFonts w:hint="eastAsia" w:ascii="仿宋_GB2312" w:hAnsi="仿宋_GB2312" w:eastAsia="仿宋_GB2312" w:cs="仿宋_GB2312"/>
                <w:bCs/>
                <w:szCs w:val="28"/>
              </w:rPr>
              <w:t>平方米</w:t>
            </w:r>
            <w:bookmarkEnd w:id="0"/>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B53B5">
            <w:pPr>
              <w:pStyle w:val="5"/>
              <w:tabs>
                <w:tab w:val="left" w:pos="705"/>
              </w:tabs>
              <w:spacing w:line="480" w:lineRule="exact"/>
              <w:ind w:firstLine="3200" w:firstLineChars="1000"/>
              <w:jc w:val="center"/>
              <w:rPr>
                <w:rFonts w:ascii="仿宋_GB2312" w:hAnsi="仿宋_GB2312" w:eastAsia="仿宋_GB2312" w:cs="仿宋_GB2312"/>
                <w:bCs/>
                <w:szCs w:val="28"/>
              </w:rPr>
            </w:pP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742FC">
            <w:pPr>
              <w:pStyle w:val="5"/>
              <w:tabs>
                <w:tab w:val="left" w:pos="705"/>
              </w:tabs>
              <w:spacing w:line="480" w:lineRule="exact"/>
              <w:ind w:firstLine="3200" w:firstLineChars="1000"/>
              <w:jc w:val="center"/>
              <w:rPr>
                <w:rFonts w:ascii="仿宋_GB2312" w:hAnsi="仿宋_GB2312" w:eastAsia="仿宋_GB2312" w:cs="仿宋_GB2312"/>
                <w:bCs/>
                <w:szCs w:val="28"/>
              </w:rPr>
            </w:pPr>
          </w:p>
        </w:tc>
      </w:tr>
      <w:tr w14:paraId="6A494E09">
        <w:tblPrEx>
          <w:tblCellMar>
            <w:top w:w="0" w:type="dxa"/>
            <w:left w:w="0" w:type="dxa"/>
            <w:bottom w:w="0" w:type="dxa"/>
            <w:right w:w="0" w:type="dxa"/>
          </w:tblCellMar>
        </w:tblPrEx>
        <w:trPr>
          <w:trHeight w:val="668"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AF7C6">
            <w:pPr>
              <w:pStyle w:val="5"/>
              <w:tabs>
                <w:tab w:val="left" w:pos="705"/>
              </w:tabs>
              <w:spacing w:line="480" w:lineRule="exact"/>
              <w:ind w:firstLine="0"/>
              <w:jc w:val="center"/>
              <w:rPr>
                <w:rFonts w:ascii="仿宋_GB2312" w:hAnsi="仿宋_GB2312" w:eastAsia="仿宋_GB2312" w:cs="仿宋_GB2312"/>
                <w:bCs/>
                <w:szCs w:val="28"/>
              </w:rPr>
            </w:pP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03F6B">
            <w:pPr>
              <w:pStyle w:val="5"/>
              <w:tabs>
                <w:tab w:val="left" w:pos="705"/>
              </w:tabs>
              <w:spacing w:line="480" w:lineRule="exact"/>
              <w:ind w:firstLine="0"/>
              <w:jc w:val="center"/>
              <w:rPr>
                <w:rFonts w:ascii="仿宋_GB2312" w:hAnsi="仿宋_GB2312" w:eastAsia="仿宋_GB2312" w:cs="仿宋_GB2312"/>
                <w:bCs/>
                <w:szCs w:val="28"/>
              </w:rPr>
            </w:pP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DD991">
            <w:pPr>
              <w:pStyle w:val="5"/>
              <w:tabs>
                <w:tab w:val="left" w:pos="705"/>
              </w:tabs>
              <w:spacing w:line="480" w:lineRule="exact"/>
              <w:ind w:firstLine="0"/>
              <w:jc w:val="center"/>
              <w:rPr>
                <w:rFonts w:ascii="仿宋_GB2312" w:hAnsi="仿宋_GB2312" w:eastAsia="仿宋_GB2312" w:cs="仿宋_GB2312"/>
                <w:bCs/>
                <w:szCs w:val="28"/>
              </w:rPr>
            </w:pP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06684">
            <w:pPr>
              <w:pStyle w:val="5"/>
              <w:tabs>
                <w:tab w:val="left" w:pos="705"/>
              </w:tabs>
              <w:spacing w:line="480" w:lineRule="exact"/>
              <w:ind w:firstLine="3200" w:firstLineChars="1000"/>
              <w:jc w:val="center"/>
              <w:rPr>
                <w:rFonts w:ascii="仿宋_GB2312" w:hAnsi="仿宋_GB2312" w:eastAsia="仿宋_GB2312" w:cs="仿宋_GB2312"/>
                <w:bCs/>
                <w:szCs w:val="28"/>
              </w:rPr>
            </w:pP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9C3CC">
            <w:pPr>
              <w:pStyle w:val="5"/>
              <w:tabs>
                <w:tab w:val="left" w:pos="705"/>
              </w:tabs>
              <w:spacing w:line="480" w:lineRule="exact"/>
              <w:ind w:firstLine="3200" w:firstLineChars="1000"/>
              <w:jc w:val="center"/>
              <w:rPr>
                <w:rFonts w:ascii="仿宋_GB2312" w:hAnsi="仿宋_GB2312" w:eastAsia="仿宋_GB2312" w:cs="仿宋_GB2312"/>
                <w:bCs/>
                <w:szCs w:val="28"/>
              </w:rPr>
            </w:pPr>
          </w:p>
        </w:tc>
      </w:tr>
      <w:tr w14:paraId="70045BBD">
        <w:tblPrEx>
          <w:tblCellMar>
            <w:top w:w="0" w:type="dxa"/>
            <w:left w:w="0" w:type="dxa"/>
            <w:bottom w:w="0" w:type="dxa"/>
            <w:right w:w="0" w:type="dxa"/>
          </w:tblCellMar>
        </w:tblPrEx>
        <w:trPr>
          <w:trHeight w:val="640" w:hRule="atLeast"/>
        </w:trPr>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3A2E3">
            <w:pPr>
              <w:pStyle w:val="5"/>
              <w:tabs>
                <w:tab w:val="left" w:pos="705"/>
              </w:tabs>
              <w:spacing w:line="480" w:lineRule="exact"/>
              <w:ind w:firstLine="0"/>
              <w:jc w:val="center"/>
              <w:rPr>
                <w:rFonts w:ascii="仿宋_GB2312" w:hAnsi="仿宋_GB2312" w:eastAsia="仿宋_GB2312" w:cs="仿宋_GB2312"/>
                <w:bCs/>
                <w:color w:val="000000"/>
                <w:kern w:val="0"/>
                <w:sz w:val="22"/>
                <w:szCs w:val="28"/>
                <w:lang w:bidi="ar"/>
              </w:rPr>
            </w:pP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C9C5B">
            <w:pPr>
              <w:pStyle w:val="5"/>
              <w:tabs>
                <w:tab w:val="left" w:pos="705"/>
              </w:tabs>
              <w:spacing w:line="480" w:lineRule="exact"/>
              <w:ind w:firstLine="0"/>
              <w:jc w:val="center"/>
              <w:rPr>
                <w:rFonts w:ascii="仿宋_GB2312" w:hAnsi="仿宋_GB2312" w:eastAsia="仿宋_GB2312" w:cs="仿宋_GB2312"/>
                <w:bCs/>
                <w:color w:val="000000"/>
                <w:sz w:val="22"/>
                <w:szCs w:val="28"/>
              </w:rPr>
            </w:pPr>
          </w:p>
        </w:tc>
        <w:tc>
          <w:tcPr>
            <w:tcW w:w="1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72A40">
            <w:pPr>
              <w:pStyle w:val="5"/>
              <w:tabs>
                <w:tab w:val="left" w:pos="705"/>
              </w:tabs>
              <w:spacing w:line="480" w:lineRule="exact"/>
              <w:ind w:firstLine="0"/>
              <w:jc w:val="center"/>
              <w:rPr>
                <w:rFonts w:ascii="仿宋_GB2312" w:hAnsi="仿宋_GB2312" w:eastAsia="仿宋_GB2312" w:cs="仿宋_GB2312"/>
                <w:bCs/>
                <w:szCs w:val="28"/>
              </w:rPr>
            </w:pP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C8EE6">
            <w:pPr>
              <w:pStyle w:val="5"/>
              <w:tabs>
                <w:tab w:val="left" w:pos="705"/>
              </w:tabs>
              <w:spacing w:line="480" w:lineRule="exact"/>
              <w:ind w:firstLine="0"/>
              <w:jc w:val="center"/>
              <w:rPr>
                <w:rFonts w:ascii="仿宋_GB2312" w:hAnsi="仿宋_GB2312" w:eastAsia="仿宋_GB2312" w:cs="仿宋_GB2312"/>
                <w:bCs/>
                <w:color w:val="000000"/>
                <w:sz w:val="22"/>
                <w:szCs w:val="28"/>
              </w:rPr>
            </w:pPr>
          </w:p>
        </w:tc>
        <w:tc>
          <w:tcPr>
            <w:tcW w:w="2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2E97E">
            <w:pPr>
              <w:pStyle w:val="5"/>
              <w:tabs>
                <w:tab w:val="left" w:pos="705"/>
              </w:tabs>
              <w:spacing w:line="480" w:lineRule="exact"/>
              <w:ind w:firstLine="0"/>
              <w:jc w:val="center"/>
              <w:rPr>
                <w:rFonts w:ascii="仿宋_GB2312" w:hAnsi="仿宋_GB2312" w:eastAsia="仿宋_GB2312" w:cs="仿宋_GB2312"/>
                <w:bCs/>
                <w:color w:val="000000"/>
                <w:sz w:val="22"/>
                <w:szCs w:val="28"/>
              </w:rPr>
            </w:pPr>
          </w:p>
        </w:tc>
      </w:tr>
      <w:tr w14:paraId="18C7496F">
        <w:tblPrEx>
          <w:tblCellMar>
            <w:top w:w="0" w:type="dxa"/>
            <w:left w:w="0" w:type="dxa"/>
            <w:bottom w:w="0" w:type="dxa"/>
            <w:right w:w="0" w:type="dxa"/>
          </w:tblCellMar>
        </w:tblPrEx>
        <w:trPr>
          <w:trHeight w:val="1963"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611C">
            <w:pPr>
              <w:pStyle w:val="5"/>
              <w:tabs>
                <w:tab w:val="left" w:pos="705"/>
              </w:tabs>
              <w:spacing w:line="480" w:lineRule="exact"/>
              <w:ind w:firstLine="0"/>
              <w:jc w:val="center"/>
              <w:rPr>
                <w:rFonts w:ascii="仿宋_GB2312" w:hAnsi="仿宋_GB2312" w:eastAsia="仿宋_GB2312" w:cs="仿宋_GB2312"/>
                <w:bCs/>
                <w:szCs w:val="28"/>
              </w:rPr>
            </w:pPr>
            <w:r>
              <w:rPr>
                <w:rFonts w:hint="eastAsia" w:ascii="仿宋_GB2312" w:hAnsi="仿宋_GB2312" w:eastAsia="仿宋_GB2312" w:cs="仿宋_GB2312"/>
                <w:bCs/>
                <w:szCs w:val="28"/>
              </w:rPr>
              <w:t>总价</w:t>
            </w:r>
          </w:p>
        </w:tc>
        <w:tc>
          <w:tcPr>
            <w:tcW w:w="64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6E54">
            <w:pPr>
              <w:pStyle w:val="5"/>
              <w:tabs>
                <w:tab w:val="left" w:pos="705"/>
              </w:tabs>
              <w:spacing w:line="480" w:lineRule="exact"/>
              <w:ind w:firstLine="3200" w:firstLineChars="1000"/>
              <w:jc w:val="center"/>
              <w:rPr>
                <w:rFonts w:ascii="仿宋_GB2312" w:hAnsi="仿宋_GB2312" w:eastAsia="仿宋_GB2312" w:cs="仿宋_GB2312"/>
                <w:bCs/>
                <w:szCs w:val="28"/>
              </w:rPr>
            </w:pPr>
          </w:p>
        </w:tc>
      </w:tr>
      <w:tr w14:paraId="41F9651C">
        <w:tblPrEx>
          <w:tblCellMar>
            <w:top w:w="0" w:type="dxa"/>
            <w:left w:w="0" w:type="dxa"/>
            <w:bottom w:w="0" w:type="dxa"/>
            <w:right w:w="0" w:type="dxa"/>
          </w:tblCellMar>
        </w:tblPrEx>
        <w:trPr>
          <w:trHeight w:val="1963" w:hRule="atLeast"/>
        </w:trPr>
        <w:tc>
          <w:tcPr>
            <w:tcW w:w="2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8F4A7">
            <w:pPr>
              <w:pStyle w:val="5"/>
              <w:tabs>
                <w:tab w:val="left" w:pos="705"/>
              </w:tabs>
              <w:spacing w:line="480" w:lineRule="exact"/>
              <w:ind w:firstLine="0"/>
              <w:jc w:val="center"/>
              <w:rPr>
                <w:rFonts w:ascii="仿宋_GB2312" w:hAnsi="仿宋_GB2312" w:eastAsia="仿宋_GB2312" w:cs="仿宋_GB2312"/>
                <w:bCs/>
                <w:color w:val="000000"/>
                <w:kern w:val="0"/>
                <w:sz w:val="22"/>
                <w:szCs w:val="28"/>
                <w:lang w:bidi="ar"/>
              </w:rPr>
            </w:pPr>
            <w:r>
              <w:rPr>
                <w:rFonts w:hint="eastAsia" w:ascii="仿宋_GB2312" w:hAnsi="仿宋_GB2312" w:eastAsia="仿宋_GB2312" w:cs="仿宋_GB2312"/>
                <w:bCs/>
                <w:sz w:val="28"/>
                <w:szCs w:val="28"/>
                <w:lang w:bidi="ar"/>
              </w:rPr>
              <w:t>备注</w:t>
            </w:r>
          </w:p>
        </w:tc>
        <w:tc>
          <w:tcPr>
            <w:tcW w:w="64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6F87">
            <w:pPr>
              <w:pStyle w:val="5"/>
              <w:tabs>
                <w:tab w:val="left" w:pos="705"/>
              </w:tabs>
              <w:spacing w:line="480" w:lineRule="exact"/>
              <w:ind w:firstLine="0"/>
              <w:jc w:val="left"/>
              <w:rPr>
                <w:rFonts w:ascii="仿宋_GB2312" w:hAnsi="仿宋_GB2312" w:eastAsia="仿宋_GB2312" w:cs="仿宋_GB2312"/>
                <w:bCs/>
                <w:color w:val="000000"/>
                <w:sz w:val="22"/>
                <w:szCs w:val="28"/>
              </w:rPr>
            </w:pPr>
            <w:r>
              <w:rPr>
                <w:rFonts w:hint="eastAsia" w:ascii="仿宋_GB2312" w:hAnsi="仿宋_GB2312" w:eastAsia="仿宋_GB2312" w:cs="仿宋_GB2312"/>
                <w:bCs/>
                <w:sz w:val="28"/>
                <w:szCs w:val="28"/>
                <w:lang w:bidi="ar"/>
              </w:rPr>
              <w:t>100元（含）以下的设备、零配件（开关、螺丝、线、接线盒、金属软管等）、材料（喷头、管件等）的更换成本，包含在维保报价中，中标人需储备足够的库存。</w:t>
            </w:r>
          </w:p>
        </w:tc>
      </w:tr>
    </w:tbl>
    <w:p w14:paraId="17A8BF90">
      <w:pPr>
        <w:jc w:val="left"/>
        <w:rPr>
          <w:rFonts w:ascii="仿宋_GB2312" w:hAnsi="仿宋_GB2312" w:eastAsia="仿宋_GB2312" w:cs="仿宋_GB2312"/>
          <w:b/>
          <w:sz w:val="28"/>
          <w:szCs w:val="28"/>
        </w:rPr>
      </w:pPr>
    </w:p>
    <w:p w14:paraId="3FC9A95D">
      <w:pPr>
        <w:jc w:val="left"/>
        <w:rPr>
          <w:rFonts w:ascii="仿宋_GB2312" w:hAnsi="仿宋_GB2312" w:eastAsia="仿宋_GB2312" w:cs="仿宋_GB2312"/>
          <w:b/>
          <w:sz w:val="28"/>
          <w:szCs w:val="28"/>
        </w:rPr>
      </w:pPr>
    </w:p>
    <w:p w14:paraId="36733B83">
      <w:pPr>
        <w:jc w:val="left"/>
        <w:rPr>
          <w:rFonts w:ascii="仿宋_GB2312" w:hAnsi="仿宋_GB2312" w:eastAsia="仿宋_GB2312" w:cs="仿宋_GB2312"/>
          <w:b/>
          <w:sz w:val="28"/>
          <w:szCs w:val="28"/>
        </w:rPr>
      </w:pPr>
    </w:p>
    <w:p w14:paraId="7DBEEB8D">
      <w:pPr>
        <w:jc w:val="left"/>
        <w:rPr>
          <w:rFonts w:ascii="仿宋_GB2312" w:hAnsi="仿宋_GB2312" w:eastAsia="仿宋_GB2312" w:cs="仿宋_GB2312"/>
          <w:b/>
          <w:sz w:val="28"/>
          <w:szCs w:val="28"/>
        </w:rPr>
      </w:pPr>
    </w:p>
    <w:p w14:paraId="205F6DB2">
      <w:pPr>
        <w:jc w:val="left"/>
        <w:rPr>
          <w:rFonts w:ascii="仿宋_GB2312" w:hAnsi="仿宋_GB2312" w:eastAsia="仿宋_GB2312" w:cs="仿宋_GB2312"/>
          <w:b/>
          <w:sz w:val="28"/>
          <w:szCs w:val="28"/>
        </w:rPr>
      </w:pPr>
    </w:p>
    <w:p w14:paraId="080007AE">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 xml:space="preserve">.3 </w:t>
      </w:r>
      <w:r>
        <w:rPr>
          <w:rFonts w:hint="eastAsia" w:ascii="仿宋_GB2312" w:hAnsi="仿宋_GB2312" w:eastAsia="仿宋_GB2312" w:cs="仿宋_GB2312"/>
          <w:b/>
          <w:sz w:val="28"/>
          <w:szCs w:val="28"/>
        </w:rPr>
        <w:t>设备配件清单报价表（此项不作为询价比价依据）</w:t>
      </w:r>
    </w:p>
    <w:tbl>
      <w:tblPr>
        <w:tblStyle w:val="11"/>
        <w:tblW w:w="8162" w:type="dxa"/>
        <w:tblInd w:w="93" w:type="dxa"/>
        <w:tblLayout w:type="fixed"/>
        <w:tblCellMar>
          <w:top w:w="0" w:type="dxa"/>
          <w:left w:w="108" w:type="dxa"/>
          <w:bottom w:w="0" w:type="dxa"/>
          <w:right w:w="108" w:type="dxa"/>
        </w:tblCellMar>
      </w:tblPr>
      <w:tblGrid>
        <w:gridCol w:w="705"/>
        <w:gridCol w:w="2619"/>
        <w:gridCol w:w="1033"/>
        <w:gridCol w:w="1105"/>
        <w:gridCol w:w="1104"/>
        <w:gridCol w:w="1596"/>
      </w:tblGrid>
      <w:tr w14:paraId="3FF6FCEE">
        <w:tblPrEx>
          <w:tblCellMar>
            <w:top w:w="0" w:type="dxa"/>
            <w:left w:w="108" w:type="dxa"/>
            <w:bottom w:w="0" w:type="dxa"/>
            <w:right w:w="108" w:type="dxa"/>
          </w:tblCellMar>
        </w:tblPrEx>
        <w:trPr>
          <w:trHeight w:val="660" w:hRule="atLeast"/>
        </w:trPr>
        <w:tc>
          <w:tcPr>
            <w:tcW w:w="8162" w:type="dxa"/>
            <w:gridSpan w:val="6"/>
            <w:tcBorders>
              <w:top w:val="single" w:color="000000" w:sz="4" w:space="0"/>
              <w:left w:val="single" w:color="000000" w:sz="4" w:space="0"/>
              <w:bottom w:val="single" w:color="000000" w:sz="4" w:space="0"/>
              <w:right w:val="single" w:color="000000" w:sz="4" w:space="0"/>
            </w:tcBorders>
            <w:vAlign w:val="center"/>
          </w:tcPr>
          <w:p w14:paraId="043352AA">
            <w:pPr>
              <w:widowControl/>
              <w:jc w:val="center"/>
              <w:rPr>
                <w:rFonts w:ascii="宋体" w:hAnsi="宋体" w:cs="宋体"/>
                <w:b/>
                <w:bCs/>
                <w:color w:val="000000"/>
                <w:sz w:val="36"/>
                <w:szCs w:val="36"/>
              </w:rPr>
            </w:pPr>
            <w:r>
              <w:rPr>
                <w:rFonts w:hint="eastAsia" w:ascii="宋体" w:hAnsi="宋体" w:cs="宋体"/>
                <w:b/>
                <w:bCs/>
                <w:color w:val="000000"/>
                <w:kern w:val="0"/>
                <w:sz w:val="36"/>
                <w:szCs w:val="36"/>
                <w:lang w:bidi="ar"/>
              </w:rPr>
              <w:t>设备配件清单价格表</w:t>
            </w:r>
          </w:p>
        </w:tc>
      </w:tr>
      <w:tr w14:paraId="4AC13E8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15200A5">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619" w:type="dxa"/>
            <w:tcBorders>
              <w:top w:val="single" w:color="000000" w:sz="4" w:space="0"/>
              <w:left w:val="single" w:color="000000" w:sz="4" w:space="0"/>
              <w:bottom w:val="single" w:color="000000" w:sz="4" w:space="0"/>
              <w:right w:val="single" w:color="000000" w:sz="4" w:space="0"/>
            </w:tcBorders>
            <w:vAlign w:val="center"/>
          </w:tcPr>
          <w:p w14:paraId="41EF66AC">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1033" w:type="dxa"/>
            <w:tcBorders>
              <w:top w:val="single" w:color="000000" w:sz="4" w:space="0"/>
              <w:left w:val="single" w:color="000000" w:sz="4" w:space="0"/>
              <w:bottom w:val="single" w:color="000000" w:sz="4" w:space="0"/>
              <w:right w:val="single" w:color="000000" w:sz="4" w:space="0"/>
            </w:tcBorders>
            <w:vAlign w:val="center"/>
          </w:tcPr>
          <w:p w14:paraId="1842BF30">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105" w:type="dxa"/>
            <w:tcBorders>
              <w:top w:val="single" w:color="000000" w:sz="4" w:space="0"/>
              <w:left w:val="single" w:color="000000" w:sz="4" w:space="0"/>
              <w:bottom w:val="single" w:color="000000" w:sz="4" w:space="0"/>
              <w:right w:val="single" w:color="000000" w:sz="4" w:space="0"/>
            </w:tcBorders>
            <w:vAlign w:val="center"/>
          </w:tcPr>
          <w:p w14:paraId="53AD4630">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104" w:type="dxa"/>
            <w:tcBorders>
              <w:top w:val="single" w:color="000000" w:sz="4" w:space="0"/>
              <w:left w:val="single" w:color="000000" w:sz="4" w:space="0"/>
              <w:bottom w:val="single" w:color="000000" w:sz="4" w:space="0"/>
              <w:right w:val="single" w:color="000000" w:sz="4" w:space="0"/>
            </w:tcBorders>
            <w:vAlign w:val="center"/>
          </w:tcPr>
          <w:p w14:paraId="396A90A8">
            <w:pPr>
              <w:widowControl/>
              <w:jc w:val="center"/>
              <w:rPr>
                <w:rFonts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1596" w:type="dxa"/>
            <w:tcBorders>
              <w:top w:val="single" w:color="000000" w:sz="4" w:space="0"/>
              <w:left w:val="single" w:color="000000" w:sz="4" w:space="0"/>
              <w:bottom w:val="single" w:color="000000" w:sz="4" w:space="0"/>
              <w:right w:val="single" w:color="000000" w:sz="4" w:space="0"/>
            </w:tcBorders>
            <w:vAlign w:val="center"/>
          </w:tcPr>
          <w:p w14:paraId="483C421D">
            <w:pPr>
              <w:widowControl/>
              <w:jc w:val="center"/>
              <w:rPr>
                <w:rFonts w:ascii="宋体" w:hAnsi="宋体" w:cs="宋体"/>
                <w:color w:val="000000"/>
                <w:szCs w:val="21"/>
              </w:rPr>
            </w:pPr>
            <w:r>
              <w:rPr>
                <w:rFonts w:hint="eastAsia" w:ascii="宋体" w:hAnsi="宋体" w:cs="宋体"/>
                <w:color w:val="000000"/>
                <w:kern w:val="0"/>
                <w:szCs w:val="21"/>
                <w:lang w:bidi="ar"/>
              </w:rPr>
              <w:t>备注</w:t>
            </w:r>
          </w:p>
        </w:tc>
      </w:tr>
      <w:tr w14:paraId="23ECC00B">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287D13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2619" w:type="dxa"/>
            <w:tcBorders>
              <w:top w:val="single" w:color="000000" w:sz="4" w:space="0"/>
              <w:left w:val="single" w:color="000000" w:sz="4" w:space="0"/>
              <w:bottom w:val="single" w:color="000000" w:sz="4" w:space="0"/>
              <w:right w:val="single" w:color="000000" w:sz="4" w:space="0"/>
            </w:tcBorders>
            <w:vAlign w:val="center"/>
          </w:tcPr>
          <w:p w14:paraId="5F735DCA">
            <w:pPr>
              <w:widowControl/>
              <w:jc w:val="center"/>
              <w:rPr>
                <w:rFonts w:ascii="宋体" w:hAnsi="宋体" w:cs="宋体"/>
                <w:color w:val="000000"/>
                <w:szCs w:val="21"/>
              </w:rPr>
            </w:pPr>
            <w:r>
              <w:rPr>
                <w:rFonts w:hint="eastAsia" w:ascii="宋体" w:hAnsi="宋体" w:cs="宋体"/>
                <w:color w:val="000000"/>
                <w:kern w:val="0"/>
                <w:szCs w:val="21"/>
                <w:lang w:bidi="ar"/>
              </w:rPr>
              <w:t>点型光电感烟探测器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67E1EA9E">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60F2A03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6FA332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7885333">
            <w:pPr>
              <w:jc w:val="center"/>
              <w:rPr>
                <w:rFonts w:ascii="宋体" w:hAnsi="宋体" w:cs="宋体"/>
                <w:color w:val="000000"/>
                <w:szCs w:val="21"/>
              </w:rPr>
            </w:pPr>
            <w:r>
              <w:rPr>
                <w:rFonts w:hint="eastAsia" w:ascii="宋体" w:hAnsi="宋体" w:cs="宋体"/>
                <w:color w:val="000000"/>
                <w:szCs w:val="21"/>
              </w:rPr>
              <w:t>100元及以下</w:t>
            </w:r>
          </w:p>
        </w:tc>
      </w:tr>
      <w:tr w14:paraId="722E38BD">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C902AC8">
            <w:pPr>
              <w:widowControl/>
              <w:jc w:val="center"/>
              <w:rPr>
                <w:rFonts w:ascii="宋体" w:hAnsi="宋体" w:cs="宋体"/>
                <w:color w:val="000000"/>
                <w:szCs w:val="21"/>
              </w:rPr>
            </w:pPr>
            <w:r>
              <w:rPr>
                <w:rFonts w:hint="eastAsia" w:ascii="宋体" w:hAnsi="宋体" w:cs="宋体"/>
                <w:color w:val="000000"/>
                <w:kern w:val="0"/>
                <w:szCs w:val="21"/>
                <w:lang w:bidi="ar"/>
              </w:rPr>
              <w:t>2</w:t>
            </w:r>
          </w:p>
        </w:tc>
        <w:tc>
          <w:tcPr>
            <w:tcW w:w="2619" w:type="dxa"/>
            <w:tcBorders>
              <w:top w:val="single" w:color="000000" w:sz="4" w:space="0"/>
              <w:left w:val="single" w:color="000000" w:sz="4" w:space="0"/>
              <w:bottom w:val="single" w:color="000000" w:sz="4" w:space="0"/>
              <w:right w:val="single" w:color="000000" w:sz="4" w:space="0"/>
            </w:tcBorders>
            <w:vAlign w:val="center"/>
          </w:tcPr>
          <w:p w14:paraId="51C60AC1">
            <w:pPr>
              <w:widowControl/>
              <w:jc w:val="center"/>
              <w:rPr>
                <w:rFonts w:ascii="宋体" w:hAnsi="宋体" w:cs="宋体"/>
                <w:color w:val="000000"/>
                <w:szCs w:val="21"/>
              </w:rPr>
            </w:pPr>
            <w:r>
              <w:rPr>
                <w:rFonts w:hint="eastAsia" w:ascii="宋体" w:hAnsi="宋体" w:cs="宋体"/>
                <w:color w:val="000000"/>
                <w:kern w:val="0"/>
                <w:szCs w:val="21"/>
                <w:lang w:bidi="ar"/>
              </w:rPr>
              <w:t>点型感温火灾探测器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35976E9F">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0D7BA1CE">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AFB1FB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EFCC569">
            <w:pPr>
              <w:jc w:val="center"/>
              <w:rPr>
                <w:rFonts w:ascii="宋体" w:hAnsi="宋体" w:cs="宋体"/>
                <w:color w:val="000000"/>
                <w:szCs w:val="21"/>
              </w:rPr>
            </w:pPr>
            <w:r>
              <w:rPr>
                <w:rFonts w:hint="eastAsia" w:ascii="宋体" w:hAnsi="宋体" w:cs="宋体"/>
                <w:color w:val="000000"/>
                <w:szCs w:val="21"/>
              </w:rPr>
              <w:t>100元及以下</w:t>
            </w:r>
          </w:p>
        </w:tc>
      </w:tr>
      <w:tr w14:paraId="1C4E350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243A491">
            <w:pPr>
              <w:widowControl/>
              <w:jc w:val="center"/>
              <w:rPr>
                <w:rFonts w:ascii="宋体" w:hAnsi="宋体" w:cs="宋体"/>
                <w:color w:val="000000"/>
                <w:szCs w:val="21"/>
              </w:rPr>
            </w:pPr>
            <w:r>
              <w:rPr>
                <w:rFonts w:hint="eastAsia" w:ascii="宋体" w:hAnsi="宋体" w:cs="宋体"/>
                <w:color w:val="000000"/>
                <w:kern w:val="0"/>
                <w:szCs w:val="21"/>
                <w:lang w:bidi="ar"/>
              </w:rPr>
              <w:t>3</w:t>
            </w:r>
          </w:p>
        </w:tc>
        <w:tc>
          <w:tcPr>
            <w:tcW w:w="2619" w:type="dxa"/>
            <w:tcBorders>
              <w:top w:val="single" w:color="000000" w:sz="4" w:space="0"/>
              <w:left w:val="single" w:color="000000" w:sz="4" w:space="0"/>
              <w:bottom w:val="single" w:color="000000" w:sz="4" w:space="0"/>
              <w:right w:val="single" w:color="000000" w:sz="4" w:space="0"/>
            </w:tcBorders>
            <w:vAlign w:val="center"/>
          </w:tcPr>
          <w:p w14:paraId="280D3CE6">
            <w:pPr>
              <w:widowControl/>
              <w:jc w:val="center"/>
              <w:rPr>
                <w:rFonts w:ascii="宋体" w:hAnsi="宋体" w:cs="宋体"/>
                <w:color w:val="000000"/>
                <w:szCs w:val="21"/>
              </w:rPr>
            </w:pPr>
            <w:r>
              <w:rPr>
                <w:rFonts w:hint="eastAsia" w:ascii="宋体" w:hAnsi="宋体" w:cs="宋体"/>
                <w:color w:val="000000"/>
                <w:kern w:val="0"/>
                <w:szCs w:val="21"/>
                <w:lang w:bidi="ar"/>
              </w:rPr>
              <w:t>手动火灾报警按钮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1EE5FE87">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786232A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A3DC73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F10A31B">
            <w:pPr>
              <w:jc w:val="center"/>
              <w:rPr>
                <w:rFonts w:ascii="宋体" w:hAnsi="宋体" w:cs="宋体"/>
                <w:color w:val="000000"/>
                <w:szCs w:val="21"/>
              </w:rPr>
            </w:pPr>
            <w:r>
              <w:rPr>
                <w:rFonts w:hint="eastAsia" w:ascii="宋体" w:hAnsi="宋体" w:cs="宋体"/>
                <w:color w:val="000000"/>
                <w:szCs w:val="21"/>
              </w:rPr>
              <w:t>100元及以下</w:t>
            </w:r>
          </w:p>
        </w:tc>
      </w:tr>
      <w:tr w14:paraId="64E4CB8D">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F5413F1">
            <w:pPr>
              <w:widowControl/>
              <w:jc w:val="center"/>
              <w:rPr>
                <w:rFonts w:ascii="宋体" w:hAnsi="宋体" w:cs="宋体"/>
                <w:color w:val="000000"/>
                <w:szCs w:val="21"/>
              </w:rPr>
            </w:pPr>
            <w:r>
              <w:rPr>
                <w:rFonts w:hint="eastAsia" w:ascii="宋体" w:hAnsi="宋体" w:cs="宋体"/>
                <w:color w:val="000000"/>
                <w:kern w:val="0"/>
                <w:szCs w:val="21"/>
                <w:lang w:bidi="ar"/>
              </w:rPr>
              <w:t>4</w:t>
            </w:r>
          </w:p>
        </w:tc>
        <w:tc>
          <w:tcPr>
            <w:tcW w:w="2619" w:type="dxa"/>
            <w:tcBorders>
              <w:top w:val="single" w:color="000000" w:sz="4" w:space="0"/>
              <w:left w:val="single" w:color="000000" w:sz="4" w:space="0"/>
              <w:bottom w:val="single" w:color="000000" w:sz="4" w:space="0"/>
              <w:right w:val="single" w:color="000000" w:sz="4" w:space="0"/>
            </w:tcBorders>
            <w:vAlign w:val="center"/>
          </w:tcPr>
          <w:p w14:paraId="578E07AD">
            <w:pPr>
              <w:widowControl/>
              <w:jc w:val="center"/>
              <w:rPr>
                <w:rFonts w:ascii="宋体" w:hAnsi="宋体" w:cs="宋体"/>
                <w:color w:val="000000"/>
                <w:szCs w:val="21"/>
              </w:rPr>
            </w:pPr>
            <w:r>
              <w:rPr>
                <w:rFonts w:hint="eastAsia" w:ascii="宋体" w:hAnsi="宋体" w:cs="宋体"/>
                <w:color w:val="000000"/>
                <w:kern w:val="0"/>
                <w:szCs w:val="21"/>
                <w:lang w:bidi="ar"/>
              </w:rPr>
              <w:t>消火栓按钮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7EC94CE3">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0B97A6E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3EA273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8EF06CD">
            <w:pPr>
              <w:jc w:val="center"/>
              <w:rPr>
                <w:rFonts w:ascii="宋体" w:hAnsi="宋体" w:cs="宋体"/>
                <w:color w:val="000000"/>
                <w:szCs w:val="21"/>
              </w:rPr>
            </w:pPr>
            <w:r>
              <w:rPr>
                <w:rFonts w:hint="eastAsia" w:ascii="宋体" w:hAnsi="宋体" w:cs="宋体"/>
                <w:color w:val="000000"/>
                <w:szCs w:val="21"/>
              </w:rPr>
              <w:t>100元及以下</w:t>
            </w:r>
          </w:p>
        </w:tc>
      </w:tr>
      <w:tr w14:paraId="2B3BF66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861BB56">
            <w:pPr>
              <w:widowControl/>
              <w:jc w:val="center"/>
              <w:rPr>
                <w:rFonts w:ascii="宋体" w:hAnsi="宋体" w:cs="宋体"/>
                <w:color w:val="000000"/>
                <w:szCs w:val="21"/>
              </w:rPr>
            </w:pPr>
            <w:r>
              <w:rPr>
                <w:rFonts w:hint="eastAsia" w:ascii="宋体" w:hAnsi="宋体" w:cs="宋体"/>
                <w:color w:val="000000"/>
                <w:kern w:val="0"/>
                <w:szCs w:val="21"/>
                <w:lang w:bidi="ar"/>
              </w:rPr>
              <w:t>5</w:t>
            </w:r>
          </w:p>
        </w:tc>
        <w:tc>
          <w:tcPr>
            <w:tcW w:w="2619" w:type="dxa"/>
            <w:tcBorders>
              <w:top w:val="single" w:color="000000" w:sz="4" w:space="0"/>
              <w:left w:val="single" w:color="000000" w:sz="4" w:space="0"/>
              <w:bottom w:val="single" w:color="000000" w:sz="4" w:space="0"/>
              <w:right w:val="single" w:color="000000" w:sz="4" w:space="0"/>
            </w:tcBorders>
            <w:vAlign w:val="center"/>
          </w:tcPr>
          <w:p w14:paraId="185CA74A">
            <w:pPr>
              <w:widowControl/>
              <w:jc w:val="center"/>
              <w:rPr>
                <w:rFonts w:ascii="宋体" w:hAnsi="宋体" w:cs="宋体"/>
                <w:color w:val="000000"/>
                <w:szCs w:val="21"/>
              </w:rPr>
            </w:pPr>
            <w:r>
              <w:rPr>
                <w:rFonts w:hint="eastAsia" w:ascii="宋体" w:hAnsi="宋体" w:cs="宋体"/>
                <w:color w:val="000000"/>
                <w:kern w:val="0"/>
                <w:szCs w:val="21"/>
                <w:lang w:bidi="ar"/>
              </w:rPr>
              <w:t>输入输出模块</w:t>
            </w:r>
          </w:p>
        </w:tc>
        <w:tc>
          <w:tcPr>
            <w:tcW w:w="1033" w:type="dxa"/>
            <w:tcBorders>
              <w:top w:val="single" w:color="000000" w:sz="4" w:space="0"/>
              <w:left w:val="single" w:color="000000" w:sz="4" w:space="0"/>
              <w:bottom w:val="single" w:color="000000" w:sz="4" w:space="0"/>
              <w:right w:val="single" w:color="000000" w:sz="4" w:space="0"/>
            </w:tcBorders>
            <w:vAlign w:val="center"/>
          </w:tcPr>
          <w:p w14:paraId="358A7B94">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1CB3B15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4A7F30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A23673A">
            <w:pPr>
              <w:jc w:val="center"/>
              <w:rPr>
                <w:rFonts w:ascii="宋体" w:hAnsi="宋体" w:cs="宋体"/>
                <w:color w:val="000000"/>
                <w:szCs w:val="21"/>
              </w:rPr>
            </w:pPr>
            <w:r>
              <w:rPr>
                <w:rFonts w:hint="eastAsia" w:ascii="宋体" w:hAnsi="宋体" w:cs="宋体"/>
                <w:color w:val="000000"/>
                <w:szCs w:val="21"/>
              </w:rPr>
              <w:t>100元及以下</w:t>
            </w:r>
          </w:p>
        </w:tc>
      </w:tr>
      <w:tr w14:paraId="39ABFAFB">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669DC69">
            <w:pPr>
              <w:widowControl/>
              <w:jc w:val="center"/>
              <w:rPr>
                <w:rFonts w:ascii="宋体" w:hAnsi="宋体" w:cs="宋体"/>
                <w:color w:val="000000"/>
                <w:szCs w:val="21"/>
              </w:rPr>
            </w:pPr>
            <w:r>
              <w:rPr>
                <w:rFonts w:hint="eastAsia" w:ascii="宋体" w:hAnsi="宋体" w:cs="宋体"/>
                <w:color w:val="000000"/>
                <w:kern w:val="0"/>
                <w:szCs w:val="21"/>
                <w:lang w:bidi="ar"/>
              </w:rPr>
              <w:t>6</w:t>
            </w:r>
          </w:p>
        </w:tc>
        <w:tc>
          <w:tcPr>
            <w:tcW w:w="2619" w:type="dxa"/>
            <w:tcBorders>
              <w:top w:val="single" w:color="000000" w:sz="4" w:space="0"/>
              <w:left w:val="single" w:color="000000" w:sz="4" w:space="0"/>
              <w:bottom w:val="single" w:color="000000" w:sz="4" w:space="0"/>
              <w:right w:val="single" w:color="000000" w:sz="4" w:space="0"/>
            </w:tcBorders>
            <w:vAlign w:val="center"/>
          </w:tcPr>
          <w:p w14:paraId="16398B0E">
            <w:pPr>
              <w:widowControl/>
              <w:jc w:val="center"/>
              <w:rPr>
                <w:rFonts w:ascii="宋体" w:hAnsi="宋体" w:cs="宋体"/>
                <w:color w:val="000000"/>
                <w:szCs w:val="21"/>
              </w:rPr>
            </w:pPr>
            <w:r>
              <w:rPr>
                <w:rFonts w:hint="eastAsia" w:ascii="宋体" w:hAnsi="宋体" w:cs="宋体"/>
                <w:color w:val="000000"/>
                <w:kern w:val="0"/>
                <w:szCs w:val="21"/>
                <w:lang w:bidi="ar"/>
              </w:rPr>
              <w:t>中继模块</w:t>
            </w:r>
          </w:p>
        </w:tc>
        <w:tc>
          <w:tcPr>
            <w:tcW w:w="1033" w:type="dxa"/>
            <w:tcBorders>
              <w:top w:val="single" w:color="000000" w:sz="4" w:space="0"/>
              <w:left w:val="single" w:color="000000" w:sz="4" w:space="0"/>
              <w:bottom w:val="single" w:color="000000" w:sz="4" w:space="0"/>
              <w:right w:val="single" w:color="000000" w:sz="4" w:space="0"/>
            </w:tcBorders>
            <w:vAlign w:val="center"/>
          </w:tcPr>
          <w:p w14:paraId="38984292">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443EB481">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49F8E0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8199D14">
            <w:pPr>
              <w:jc w:val="center"/>
              <w:rPr>
                <w:rFonts w:ascii="宋体" w:hAnsi="宋体" w:cs="宋体"/>
                <w:color w:val="000000"/>
                <w:szCs w:val="21"/>
              </w:rPr>
            </w:pPr>
            <w:r>
              <w:rPr>
                <w:rFonts w:hint="eastAsia" w:ascii="宋体" w:hAnsi="宋体" w:cs="宋体"/>
                <w:color w:val="000000"/>
                <w:szCs w:val="21"/>
              </w:rPr>
              <w:t>100元及以下</w:t>
            </w:r>
          </w:p>
        </w:tc>
      </w:tr>
      <w:tr w14:paraId="58A4511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5C84C8C">
            <w:pPr>
              <w:widowControl/>
              <w:jc w:val="center"/>
              <w:rPr>
                <w:rFonts w:ascii="宋体" w:hAnsi="宋体" w:cs="宋体"/>
                <w:color w:val="000000"/>
                <w:szCs w:val="21"/>
              </w:rPr>
            </w:pPr>
            <w:r>
              <w:rPr>
                <w:rFonts w:hint="eastAsia" w:ascii="宋体" w:hAnsi="宋体" w:cs="宋体"/>
                <w:color w:val="000000"/>
                <w:kern w:val="0"/>
                <w:szCs w:val="21"/>
                <w:lang w:bidi="ar"/>
              </w:rPr>
              <w:t>7</w:t>
            </w:r>
          </w:p>
        </w:tc>
        <w:tc>
          <w:tcPr>
            <w:tcW w:w="2619" w:type="dxa"/>
            <w:tcBorders>
              <w:top w:val="single" w:color="000000" w:sz="4" w:space="0"/>
              <w:left w:val="single" w:color="000000" w:sz="4" w:space="0"/>
              <w:bottom w:val="single" w:color="000000" w:sz="4" w:space="0"/>
              <w:right w:val="single" w:color="000000" w:sz="4" w:space="0"/>
            </w:tcBorders>
            <w:vAlign w:val="center"/>
          </w:tcPr>
          <w:p w14:paraId="402D56C6">
            <w:pPr>
              <w:widowControl/>
              <w:jc w:val="center"/>
              <w:rPr>
                <w:rFonts w:ascii="宋体" w:hAnsi="宋体" w:cs="宋体"/>
                <w:color w:val="000000"/>
                <w:szCs w:val="21"/>
              </w:rPr>
            </w:pPr>
            <w:r>
              <w:rPr>
                <w:rFonts w:hint="eastAsia" w:ascii="宋体" w:hAnsi="宋体" w:cs="宋体"/>
                <w:color w:val="000000"/>
                <w:kern w:val="0"/>
                <w:szCs w:val="21"/>
                <w:lang w:bidi="ar"/>
              </w:rPr>
              <w:t>火灾显示盘</w:t>
            </w:r>
          </w:p>
        </w:tc>
        <w:tc>
          <w:tcPr>
            <w:tcW w:w="1033" w:type="dxa"/>
            <w:tcBorders>
              <w:top w:val="single" w:color="000000" w:sz="4" w:space="0"/>
              <w:left w:val="single" w:color="000000" w:sz="4" w:space="0"/>
              <w:bottom w:val="single" w:color="000000" w:sz="4" w:space="0"/>
              <w:right w:val="single" w:color="000000" w:sz="4" w:space="0"/>
            </w:tcBorders>
            <w:vAlign w:val="center"/>
          </w:tcPr>
          <w:p w14:paraId="2666C173">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4F18123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980E0F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042402A">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EC5D4F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2C7C449">
            <w:pPr>
              <w:widowControl/>
              <w:jc w:val="center"/>
              <w:rPr>
                <w:rFonts w:ascii="宋体" w:hAnsi="宋体" w:cs="宋体"/>
                <w:color w:val="000000"/>
                <w:szCs w:val="21"/>
              </w:rPr>
            </w:pPr>
            <w:r>
              <w:rPr>
                <w:rFonts w:hint="eastAsia" w:ascii="宋体" w:hAnsi="宋体" w:cs="宋体"/>
                <w:color w:val="000000"/>
                <w:kern w:val="0"/>
                <w:szCs w:val="21"/>
                <w:lang w:bidi="ar"/>
              </w:rPr>
              <w:t>8</w:t>
            </w:r>
          </w:p>
        </w:tc>
        <w:tc>
          <w:tcPr>
            <w:tcW w:w="2619" w:type="dxa"/>
            <w:tcBorders>
              <w:top w:val="single" w:color="000000" w:sz="4" w:space="0"/>
              <w:left w:val="single" w:color="000000" w:sz="4" w:space="0"/>
              <w:bottom w:val="single" w:color="000000" w:sz="4" w:space="0"/>
              <w:right w:val="single" w:color="000000" w:sz="4" w:space="0"/>
            </w:tcBorders>
            <w:vAlign w:val="center"/>
          </w:tcPr>
          <w:p w14:paraId="34C1F1B2">
            <w:pPr>
              <w:widowControl/>
              <w:jc w:val="center"/>
              <w:rPr>
                <w:rFonts w:ascii="宋体" w:hAnsi="宋体" w:cs="宋体"/>
                <w:color w:val="000000"/>
                <w:szCs w:val="21"/>
              </w:rPr>
            </w:pPr>
            <w:r>
              <w:rPr>
                <w:rFonts w:hint="eastAsia" w:ascii="宋体" w:hAnsi="宋体" w:cs="宋体"/>
                <w:color w:val="000000"/>
                <w:kern w:val="0"/>
                <w:szCs w:val="21"/>
                <w:lang w:bidi="ar"/>
              </w:rPr>
              <w:t>消防广播主机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0F6216F4">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4117479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522212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95DCE72">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7F7904B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688C534">
            <w:pPr>
              <w:widowControl/>
              <w:jc w:val="center"/>
              <w:rPr>
                <w:rFonts w:ascii="宋体" w:hAnsi="宋体" w:cs="宋体"/>
                <w:color w:val="000000"/>
                <w:szCs w:val="21"/>
              </w:rPr>
            </w:pPr>
            <w:r>
              <w:rPr>
                <w:rFonts w:hint="eastAsia" w:ascii="宋体" w:hAnsi="宋体" w:cs="宋体"/>
                <w:color w:val="000000"/>
                <w:kern w:val="0"/>
                <w:szCs w:val="21"/>
                <w:lang w:bidi="ar"/>
              </w:rPr>
              <w:t>9</w:t>
            </w:r>
          </w:p>
        </w:tc>
        <w:tc>
          <w:tcPr>
            <w:tcW w:w="2619" w:type="dxa"/>
            <w:tcBorders>
              <w:top w:val="single" w:color="000000" w:sz="4" w:space="0"/>
              <w:left w:val="single" w:color="000000" w:sz="4" w:space="0"/>
              <w:bottom w:val="single" w:color="000000" w:sz="4" w:space="0"/>
              <w:right w:val="single" w:color="000000" w:sz="4" w:space="0"/>
            </w:tcBorders>
            <w:vAlign w:val="center"/>
          </w:tcPr>
          <w:p w14:paraId="680226D1">
            <w:pPr>
              <w:widowControl/>
              <w:jc w:val="center"/>
              <w:rPr>
                <w:rFonts w:ascii="宋体" w:hAnsi="宋体" w:cs="宋体"/>
                <w:color w:val="000000"/>
                <w:szCs w:val="21"/>
              </w:rPr>
            </w:pPr>
            <w:r>
              <w:rPr>
                <w:rFonts w:hint="eastAsia" w:ascii="宋体" w:hAnsi="宋体" w:cs="宋体"/>
                <w:color w:val="000000"/>
                <w:kern w:val="0"/>
                <w:szCs w:val="21"/>
                <w:lang w:bidi="ar"/>
              </w:rPr>
              <w:t>吸顶式扬声器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35981258">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26047B75">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50107E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398FEEF">
            <w:pPr>
              <w:jc w:val="center"/>
              <w:rPr>
                <w:rFonts w:ascii="宋体" w:hAnsi="宋体" w:cs="宋体"/>
                <w:color w:val="000000"/>
                <w:szCs w:val="21"/>
              </w:rPr>
            </w:pPr>
            <w:r>
              <w:rPr>
                <w:rFonts w:hint="eastAsia" w:ascii="宋体" w:hAnsi="宋体" w:cs="宋体"/>
                <w:color w:val="000000"/>
                <w:szCs w:val="21"/>
              </w:rPr>
              <w:t>100元及以下</w:t>
            </w:r>
          </w:p>
        </w:tc>
      </w:tr>
      <w:tr w14:paraId="5556058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0B7D8C5">
            <w:pPr>
              <w:widowControl/>
              <w:jc w:val="center"/>
              <w:rPr>
                <w:rFonts w:ascii="宋体" w:hAnsi="宋体" w:cs="宋体"/>
                <w:color w:val="000000"/>
                <w:szCs w:val="21"/>
              </w:rPr>
            </w:pPr>
            <w:r>
              <w:rPr>
                <w:rFonts w:hint="eastAsia" w:ascii="宋体" w:hAnsi="宋体" w:cs="宋体"/>
                <w:color w:val="000000"/>
                <w:kern w:val="0"/>
                <w:szCs w:val="21"/>
                <w:lang w:bidi="ar"/>
              </w:rPr>
              <w:t>10</w:t>
            </w:r>
          </w:p>
        </w:tc>
        <w:tc>
          <w:tcPr>
            <w:tcW w:w="2619" w:type="dxa"/>
            <w:tcBorders>
              <w:top w:val="single" w:color="000000" w:sz="4" w:space="0"/>
              <w:left w:val="single" w:color="000000" w:sz="4" w:space="0"/>
              <w:bottom w:val="single" w:color="000000" w:sz="4" w:space="0"/>
              <w:right w:val="single" w:color="000000" w:sz="4" w:space="0"/>
            </w:tcBorders>
            <w:vAlign w:val="center"/>
          </w:tcPr>
          <w:p w14:paraId="0803DF34">
            <w:pPr>
              <w:widowControl/>
              <w:jc w:val="center"/>
              <w:rPr>
                <w:rFonts w:ascii="宋体" w:hAnsi="宋体" w:cs="宋体"/>
                <w:color w:val="000000"/>
                <w:szCs w:val="21"/>
              </w:rPr>
            </w:pPr>
            <w:r>
              <w:rPr>
                <w:rFonts w:hint="eastAsia" w:ascii="宋体" w:hAnsi="宋体" w:cs="宋体"/>
                <w:color w:val="000000"/>
                <w:kern w:val="0"/>
                <w:szCs w:val="21"/>
                <w:lang w:bidi="ar"/>
              </w:rPr>
              <w:t>火灾声光警报器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17967502">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02137A2A">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04245B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97980FB">
            <w:pPr>
              <w:jc w:val="center"/>
              <w:rPr>
                <w:rFonts w:ascii="宋体" w:hAnsi="宋体" w:cs="宋体"/>
                <w:color w:val="000000"/>
                <w:szCs w:val="21"/>
              </w:rPr>
            </w:pPr>
            <w:r>
              <w:rPr>
                <w:rFonts w:hint="eastAsia" w:ascii="宋体" w:hAnsi="宋体" w:cs="宋体"/>
                <w:color w:val="000000"/>
                <w:szCs w:val="21"/>
              </w:rPr>
              <w:t>100元及以下</w:t>
            </w:r>
          </w:p>
        </w:tc>
      </w:tr>
      <w:tr w14:paraId="3C1955FB">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02019C3">
            <w:pPr>
              <w:widowControl/>
              <w:jc w:val="center"/>
              <w:rPr>
                <w:rFonts w:ascii="宋体" w:hAnsi="宋体" w:cs="宋体"/>
                <w:color w:val="000000"/>
                <w:szCs w:val="21"/>
              </w:rPr>
            </w:pPr>
            <w:r>
              <w:rPr>
                <w:rFonts w:hint="eastAsia" w:ascii="宋体" w:hAnsi="宋体" w:cs="宋体"/>
                <w:color w:val="000000"/>
                <w:kern w:val="0"/>
                <w:szCs w:val="21"/>
                <w:lang w:bidi="ar"/>
              </w:rPr>
              <w:t>11</w:t>
            </w:r>
          </w:p>
        </w:tc>
        <w:tc>
          <w:tcPr>
            <w:tcW w:w="2619" w:type="dxa"/>
            <w:tcBorders>
              <w:top w:val="single" w:color="000000" w:sz="4" w:space="0"/>
              <w:left w:val="single" w:color="000000" w:sz="4" w:space="0"/>
              <w:bottom w:val="single" w:color="000000" w:sz="4" w:space="0"/>
              <w:right w:val="single" w:color="000000" w:sz="4" w:space="0"/>
            </w:tcBorders>
            <w:vAlign w:val="center"/>
          </w:tcPr>
          <w:p w14:paraId="4A892D60">
            <w:pPr>
              <w:widowControl/>
              <w:jc w:val="center"/>
              <w:rPr>
                <w:rFonts w:ascii="宋体" w:hAnsi="宋体" w:cs="宋体"/>
                <w:color w:val="000000"/>
                <w:szCs w:val="21"/>
              </w:rPr>
            </w:pPr>
            <w:r>
              <w:rPr>
                <w:rFonts w:hint="eastAsia" w:ascii="宋体" w:hAnsi="宋体" w:cs="宋体"/>
                <w:color w:val="000000"/>
                <w:kern w:val="0"/>
                <w:szCs w:val="21"/>
                <w:lang w:bidi="ar"/>
              </w:rPr>
              <w:t>二线式电话分机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0B9E860F">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5B899A2E">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8ECC16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DC4A5CC">
            <w:pPr>
              <w:jc w:val="center"/>
              <w:rPr>
                <w:rFonts w:ascii="宋体" w:hAnsi="宋体" w:cs="宋体"/>
                <w:color w:val="000000"/>
                <w:szCs w:val="21"/>
              </w:rPr>
            </w:pPr>
            <w:r>
              <w:rPr>
                <w:rFonts w:hint="eastAsia" w:ascii="宋体" w:hAnsi="宋体" w:cs="宋体"/>
                <w:color w:val="000000"/>
                <w:szCs w:val="21"/>
              </w:rPr>
              <w:t>100元及以下</w:t>
            </w:r>
          </w:p>
        </w:tc>
      </w:tr>
      <w:tr w14:paraId="3B81F87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30453FA">
            <w:pPr>
              <w:widowControl/>
              <w:jc w:val="center"/>
              <w:rPr>
                <w:rFonts w:ascii="宋体" w:hAnsi="宋体" w:cs="宋体"/>
                <w:color w:val="000000"/>
                <w:szCs w:val="21"/>
              </w:rPr>
            </w:pPr>
            <w:r>
              <w:rPr>
                <w:rFonts w:hint="eastAsia" w:ascii="宋体" w:hAnsi="宋体" w:cs="宋体"/>
                <w:color w:val="000000"/>
                <w:kern w:val="0"/>
                <w:szCs w:val="21"/>
                <w:lang w:bidi="ar"/>
              </w:rPr>
              <w:t>12</w:t>
            </w:r>
          </w:p>
        </w:tc>
        <w:tc>
          <w:tcPr>
            <w:tcW w:w="2619" w:type="dxa"/>
            <w:tcBorders>
              <w:top w:val="single" w:color="000000" w:sz="4" w:space="0"/>
              <w:left w:val="single" w:color="000000" w:sz="4" w:space="0"/>
              <w:bottom w:val="single" w:color="000000" w:sz="4" w:space="0"/>
              <w:right w:val="single" w:color="000000" w:sz="4" w:space="0"/>
            </w:tcBorders>
            <w:vAlign w:val="center"/>
          </w:tcPr>
          <w:p w14:paraId="481676D6">
            <w:pPr>
              <w:widowControl/>
              <w:jc w:val="center"/>
              <w:rPr>
                <w:rFonts w:ascii="宋体" w:hAnsi="宋体" w:cs="宋体"/>
                <w:color w:val="000000"/>
                <w:szCs w:val="21"/>
              </w:rPr>
            </w:pPr>
            <w:r>
              <w:rPr>
                <w:rFonts w:hint="eastAsia" w:ascii="宋体" w:hAnsi="宋体" w:cs="宋体"/>
                <w:color w:val="000000"/>
                <w:kern w:val="0"/>
                <w:szCs w:val="21"/>
                <w:lang w:bidi="ar"/>
              </w:rPr>
              <w:t>总线电话分机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20D9C17E">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5CE0B8C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41D27AC">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D87BD9C">
            <w:pPr>
              <w:jc w:val="center"/>
              <w:rPr>
                <w:rFonts w:ascii="宋体" w:hAnsi="宋体" w:cs="宋体"/>
                <w:color w:val="000000"/>
                <w:szCs w:val="21"/>
              </w:rPr>
            </w:pPr>
            <w:r>
              <w:rPr>
                <w:rFonts w:hint="eastAsia" w:ascii="宋体" w:hAnsi="宋体" w:cs="宋体"/>
                <w:color w:val="000000"/>
                <w:szCs w:val="21"/>
              </w:rPr>
              <w:t>100元及以下</w:t>
            </w:r>
          </w:p>
        </w:tc>
      </w:tr>
      <w:tr w14:paraId="267266B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426C60E">
            <w:pPr>
              <w:widowControl/>
              <w:jc w:val="center"/>
              <w:rPr>
                <w:rFonts w:ascii="宋体" w:hAnsi="宋体" w:cs="宋体"/>
                <w:color w:val="000000"/>
                <w:szCs w:val="21"/>
              </w:rPr>
            </w:pPr>
            <w:r>
              <w:rPr>
                <w:rFonts w:hint="eastAsia" w:ascii="宋体" w:hAnsi="宋体" w:cs="宋体"/>
                <w:color w:val="000000"/>
                <w:kern w:val="0"/>
                <w:szCs w:val="21"/>
                <w:lang w:bidi="ar"/>
              </w:rPr>
              <w:t>13</w:t>
            </w:r>
          </w:p>
        </w:tc>
        <w:tc>
          <w:tcPr>
            <w:tcW w:w="2619" w:type="dxa"/>
            <w:tcBorders>
              <w:top w:val="single" w:color="000000" w:sz="4" w:space="0"/>
              <w:left w:val="single" w:color="000000" w:sz="4" w:space="0"/>
              <w:bottom w:val="single" w:color="000000" w:sz="4" w:space="0"/>
              <w:right w:val="single" w:color="000000" w:sz="4" w:space="0"/>
            </w:tcBorders>
            <w:vAlign w:val="center"/>
          </w:tcPr>
          <w:p w14:paraId="5E88B71D">
            <w:pPr>
              <w:widowControl/>
              <w:jc w:val="center"/>
              <w:rPr>
                <w:rFonts w:ascii="宋体" w:hAnsi="宋体" w:cs="宋体"/>
                <w:color w:val="000000"/>
                <w:szCs w:val="21"/>
              </w:rPr>
            </w:pPr>
            <w:r>
              <w:rPr>
                <w:rFonts w:hint="eastAsia" w:ascii="宋体" w:hAnsi="宋体" w:cs="宋体"/>
                <w:color w:val="000000"/>
                <w:kern w:val="0"/>
                <w:szCs w:val="21"/>
                <w:lang w:bidi="ar"/>
              </w:rPr>
              <w:t>消防电话主机</w:t>
            </w:r>
          </w:p>
        </w:tc>
        <w:tc>
          <w:tcPr>
            <w:tcW w:w="1033" w:type="dxa"/>
            <w:tcBorders>
              <w:top w:val="single" w:color="000000" w:sz="4" w:space="0"/>
              <w:left w:val="single" w:color="000000" w:sz="4" w:space="0"/>
              <w:bottom w:val="single" w:color="000000" w:sz="4" w:space="0"/>
              <w:right w:val="single" w:color="000000" w:sz="4" w:space="0"/>
            </w:tcBorders>
            <w:vAlign w:val="center"/>
          </w:tcPr>
          <w:p w14:paraId="3DE5BDEF">
            <w:pPr>
              <w:widowControl/>
              <w:jc w:val="center"/>
              <w:rPr>
                <w:rFonts w:ascii="宋体" w:hAnsi="宋体" w:cs="宋体"/>
                <w:color w:val="000000"/>
                <w:szCs w:val="21"/>
              </w:rPr>
            </w:pPr>
            <w:r>
              <w:rPr>
                <w:rFonts w:hint="eastAsia" w:ascii="宋体" w:hAnsi="宋体" w:cs="宋体"/>
                <w:color w:val="000000"/>
                <w:kern w:val="0"/>
                <w:szCs w:val="21"/>
                <w:lang w:bidi="ar"/>
              </w:rPr>
              <w:t>台</w:t>
            </w:r>
          </w:p>
        </w:tc>
        <w:tc>
          <w:tcPr>
            <w:tcW w:w="1105" w:type="dxa"/>
            <w:tcBorders>
              <w:top w:val="single" w:color="000000" w:sz="4" w:space="0"/>
              <w:left w:val="single" w:color="000000" w:sz="4" w:space="0"/>
              <w:bottom w:val="single" w:color="000000" w:sz="4" w:space="0"/>
              <w:right w:val="single" w:color="000000" w:sz="4" w:space="0"/>
            </w:tcBorders>
            <w:vAlign w:val="center"/>
          </w:tcPr>
          <w:p w14:paraId="31B450F8">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D92F71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A1DDB4A">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5CB224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DDA9914">
            <w:pPr>
              <w:widowControl/>
              <w:jc w:val="center"/>
              <w:rPr>
                <w:rFonts w:ascii="宋体" w:hAnsi="宋体" w:cs="宋体"/>
                <w:color w:val="000000"/>
                <w:szCs w:val="21"/>
              </w:rPr>
            </w:pPr>
            <w:r>
              <w:rPr>
                <w:rFonts w:hint="eastAsia" w:ascii="宋体" w:hAnsi="宋体" w:cs="宋体"/>
                <w:color w:val="000000"/>
                <w:kern w:val="0"/>
                <w:szCs w:val="21"/>
                <w:lang w:bidi="ar"/>
              </w:rPr>
              <w:t>14</w:t>
            </w:r>
          </w:p>
        </w:tc>
        <w:tc>
          <w:tcPr>
            <w:tcW w:w="2619" w:type="dxa"/>
            <w:tcBorders>
              <w:top w:val="single" w:color="000000" w:sz="4" w:space="0"/>
              <w:left w:val="single" w:color="000000" w:sz="4" w:space="0"/>
              <w:bottom w:val="single" w:color="000000" w:sz="4" w:space="0"/>
              <w:right w:val="single" w:color="000000" w:sz="4" w:space="0"/>
            </w:tcBorders>
            <w:vAlign w:val="center"/>
          </w:tcPr>
          <w:p w14:paraId="162F42A6">
            <w:pPr>
              <w:widowControl/>
              <w:jc w:val="center"/>
              <w:rPr>
                <w:rFonts w:ascii="宋体" w:hAnsi="宋体" w:cs="宋体"/>
                <w:color w:val="000000"/>
                <w:szCs w:val="21"/>
              </w:rPr>
            </w:pPr>
            <w:r>
              <w:rPr>
                <w:rFonts w:hint="eastAsia" w:ascii="宋体" w:hAnsi="宋体" w:cs="宋体"/>
                <w:color w:val="000000"/>
                <w:kern w:val="0"/>
                <w:szCs w:val="21"/>
                <w:lang w:bidi="ar"/>
              </w:rPr>
              <w:t>蓄电池</w:t>
            </w:r>
          </w:p>
        </w:tc>
        <w:tc>
          <w:tcPr>
            <w:tcW w:w="1033" w:type="dxa"/>
            <w:tcBorders>
              <w:top w:val="single" w:color="000000" w:sz="4" w:space="0"/>
              <w:left w:val="single" w:color="000000" w:sz="4" w:space="0"/>
              <w:bottom w:val="single" w:color="000000" w:sz="4" w:space="0"/>
              <w:right w:val="single" w:color="000000" w:sz="4" w:space="0"/>
            </w:tcBorders>
            <w:vAlign w:val="center"/>
          </w:tcPr>
          <w:p w14:paraId="2E1C9E7E">
            <w:pPr>
              <w:widowControl/>
              <w:jc w:val="center"/>
              <w:rPr>
                <w:rFonts w:ascii="宋体" w:hAnsi="宋体" w:cs="宋体"/>
                <w:color w:val="000000"/>
                <w:szCs w:val="21"/>
              </w:rPr>
            </w:pPr>
            <w:r>
              <w:rPr>
                <w:rFonts w:hint="eastAsia" w:ascii="宋体" w:hAnsi="宋体" w:cs="宋体"/>
                <w:color w:val="000000"/>
                <w:kern w:val="0"/>
                <w:szCs w:val="21"/>
                <w:lang w:bidi="ar"/>
              </w:rPr>
              <w:t>节</w:t>
            </w:r>
          </w:p>
        </w:tc>
        <w:tc>
          <w:tcPr>
            <w:tcW w:w="1105" w:type="dxa"/>
            <w:tcBorders>
              <w:top w:val="single" w:color="000000" w:sz="4" w:space="0"/>
              <w:left w:val="single" w:color="000000" w:sz="4" w:space="0"/>
              <w:bottom w:val="single" w:color="000000" w:sz="4" w:space="0"/>
              <w:right w:val="single" w:color="000000" w:sz="4" w:space="0"/>
            </w:tcBorders>
            <w:vAlign w:val="center"/>
          </w:tcPr>
          <w:p w14:paraId="1AF9067E">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E7AC48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6D21DBA">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9563F0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CEE5F4C">
            <w:pPr>
              <w:widowControl/>
              <w:jc w:val="center"/>
              <w:rPr>
                <w:rFonts w:ascii="宋体" w:hAnsi="宋体" w:cs="宋体"/>
                <w:color w:val="000000"/>
                <w:szCs w:val="21"/>
              </w:rPr>
            </w:pPr>
            <w:r>
              <w:rPr>
                <w:rFonts w:hint="eastAsia" w:ascii="宋体" w:hAnsi="宋体" w:cs="宋体"/>
                <w:color w:val="000000"/>
                <w:kern w:val="0"/>
                <w:szCs w:val="21"/>
                <w:lang w:bidi="ar"/>
              </w:rPr>
              <w:t>15</w:t>
            </w:r>
          </w:p>
        </w:tc>
        <w:tc>
          <w:tcPr>
            <w:tcW w:w="2619" w:type="dxa"/>
            <w:tcBorders>
              <w:top w:val="single" w:color="000000" w:sz="4" w:space="0"/>
              <w:left w:val="single" w:color="000000" w:sz="4" w:space="0"/>
              <w:bottom w:val="single" w:color="000000" w:sz="4" w:space="0"/>
              <w:right w:val="single" w:color="000000" w:sz="4" w:space="0"/>
            </w:tcBorders>
            <w:vAlign w:val="center"/>
          </w:tcPr>
          <w:p w14:paraId="1FCAC339">
            <w:pPr>
              <w:widowControl/>
              <w:jc w:val="center"/>
              <w:rPr>
                <w:rFonts w:ascii="宋体" w:hAnsi="宋体" w:cs="宋体"/>
                <w:color w:val="000000"/>
                <w:szCs w:val="21"/>
              </w:rPr>
            </w:pPr>
            <w:r>
              <w:rPr>
                <w:rFonts w:hint="eastAsia" w:ascii="宋体" w:hAnsi="宋体" w:cs="宋体"/>
                <w:color w:val="000000"/>
                <w:kern w:val="0"/>
                <w:szCs w:val="21"/>
                <w:lang w:bidi="ar"/>
              </w:rPr>
              <w:t>气体灭火控制器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40B028AA">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4114DC1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84D6D5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D68D23D">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3586BDF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CBC0930">
            <w:pPr>
              <w:widowControl/>
              <w:jc w:val="center"/>
              <w:rPr>
                <w:rFonts w:ascii="宋体" w:hAnsi="宋体" w:cs="宋体"/>
                <w:color w:val="000000"/>
                <w:szCs w:val="21"/>
              </w:rPr>
            </w:pPr>
            <w:r>
              <w:rPr>
                <w:rFonts w:hint="eastAsia" w:ascii="宋体" w:hAnsi="宋体" w:cs="宋体"/>
                <w:color w:val="000000"/>
                <w:kern w:val="0"/>
                <w:szCs w:val="21"/>
                <w:lang w:bidi="ar"/>
              </w:rPr>
              <w:t>16</w:t>
            </w:r>
          </w:p>
        </w:tc>
        <w:tc>
          <w:tcPr>
            <w:tcW w:w="2619" w:type="dxa"/>
            <w:tcBorders>
              <w:top w:val="single" w:color="000000" w:sz="4" w:space="0"/>
              <w:left w:val="single" w:color="000000" w:sz="4" w:space="0"/>
              <w:bottom w:val="single" w:color="000000" w:sz="4" w:space="0"/>
              <w:right w:val="single" w:color="000000" w:sz="4" w:space="0"/>
            </w:tcBorders>
            <w:vAlign w:val="center"/>
          </w:tcPr>
          <w:p w14:paraId="04B97200">
            <w:pPr>
              <w:widowControl/>
              <w:jc w:val="center"/>
              <w:rPr>
                <w:rFonts w:ascii="宋体" w:hAnsi="宋体" w:cs="宋体"/>
                <w:color w:val="000000"/>
                <w:szCs w:val="21"/>
              </w:rPr>
            </w:pPr>
            <w:r>
              <w:rPr>
                <w:rFonts w:hint="eastAsia" w:ascii="宋体" w:hAnsi="宋体" w:cs="宋体"/>
                <w:color w:val="000000"/>
                <w:kern w:val="0"/>
                <w:szCs w:val="21"/>
                <w:lang w:bidi="ar"/>
              </w:rPr>
              <w:t>气体释放灯</w:t>
            </w:r>
          </w:p>
        </w:tc>
        <w:tc>
          <w:tcPr>
            <w:tcW w:w="1033" w:type="dxa"/>
            <w:tcBorders>
              <w:top w:val="single" w:color="000000" w:sz="4" w:space="0"/>
              <w:left w:val="single" w:color="000000" w:sz="4" w:space="0"/>
              <w:bottom w:val="single" w:color="000000" w:sz="4" w:space="0"/>
              <w:right w:val="single" w:color="000000" w:sz="4" w:space="0"/>
            </w:tcBorders>
            <w:vAlign w:val="center"/>
          </w:tcPr>
          <w:p w14:paraId="59570B58">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7B5B024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D73AA1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09524DFE">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18101C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D31E15B">
            <w:pPr>
              <w:widowControl/>
              <w:jc w:val="center"/>
              <w:rPr>
                <w:rFonts w:ascii="宋体" w:hAnsi="宋体" w:cs="宋体"/>
                <w:color w:val="000000"/>
                <w:szCs w:val="21"/>
              </w:rPr>
            </w:pPr>
            <w:r>
              <w:rPr>
                <w:rFonts w:hint="eastAsia" w:ascii="宋体" w:hAnsi="宋体" w:cs="宋体"/>
                <w:color w:val="000000"/>
                <w:kern w:val="0"/>
                <w:szCs w:val="21"/>
                <w:lang w:bidi="ar"/>
              </w:rPr>
              <w:t>17</w:t>
            </w:r>
          </w:p>
        </w:tc>
        <w:tc>
          <w:tcPr>
            <w:tcW w:w="2619" w:type="dxa"/>
            <w:tcBorders>
              <w:top w:val="single" w:color="000000" w:sz="4" w:space="0"/>
              <w:left w:val="single" w:color="000000" w:sz="4" w:space="0"/>
              <w:bottom w:val="single" w:color="000000" w:sz="4" w:space="0"/>
              <w:right w:val="single" w:color="000000" w:sz="4" w:space="0"/>
            </w:tcBorders>
            <w:vAlign w:val="center"/>
          </w:tcPr>
          <w:p w14:paraId="4D9F1DE0">
            <w:pPr>
              <w:widowControl/>
              <w:jc w:val="center"/>
              <w:rPr>
                <w:rFonts w:ascii="宋体" w:hAnsi="宋体" w:cs="宋体"/>
                <w:color w:val="000000"/>
                <w:szCs w:val="21"/>
              </w:rPr>
            </w:pPr>
            <w:r>
              <w:rPr>
                <w:rFonts w:hint="eastAsia" w:ascii="宋体" w:hAnsi="宋体" w:cs="宋体"/>
                <w:color w:val="000000"/>
                <w:kern w:val="0"/>
                <w:szCs w:val="21"/>
                <w:lang w:bidi="ar"/>
              </w:rPr>
              <w:t>紧急启停按钮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6C49EE98">
            <w:pPr>
              <w:widowControl/>
              <w:jc w:val="center"/>
              <w:rPr>
                <w:rFonts w:ascii="宋体" w:hAnsi="宋体" w:cs="宋体"/>
                <w:color w:val="000000"/>
                <w:szCs w:val="21"/>
              </w:rPr>
            </w:pPr>
            <w:r>
              <w:rPr>
                <w:rFonts w:hint="eastAsia" w:ascii="宋体" w:hAnsi="宋体" w:cs="宋体"/>
                <w:color w:val="000000"/>
                <w:kern w:val="0"/>
                <w:szCs w:val="21"/>
                <w:lang w:bidi="ar"/>
              </w:rPr>
              <w:t>个</w:t>
            </w:r>
          </w:p>
        </w:tc>
        <w:tc>
          <w:tcPr>
            <w:tcW w:w="1105" w:type="dxa"/>
            <w:tcBorders>
              <w:top w:val="single" w:color="000000" w:sz="4" w:space="0"/>
              <w:left w:val="single" w:color="000000" w:sz="4" w:space="0"/>
              <w:bottom w:val="single" w:color="000000" w:sz="4" w:space="0"/>
              <w:right w:val="single" w:color="000000" w:sz="4" w:space="0"/>
            </w:tcBorders>
            <w:vAlign w:val="center"/>
          </w:tcPr>
          <w:p w14:paraId="6B531D5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E99E15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066596A">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0EA490C8">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D2D6FE8">
            <w:pPr>
              <w:widowControl/>
              <w:jc w:val="center"/>
              <w:rPr>
                <w:rFonts w:ascii="宋体" w:hAnsi="宋体" w:cs="宋体"/>
                <w:color w:val="000000"/>
                <w:szCs w:val="21"/>
              </w:rPr>
            </w:pPr>
            <w:r>
              <w:rPr>
                <w:rFonts w:hint="eastAsia" w:ascii="宋体" w:hAnsi="宋体" w:cs="宋体"/>
                <w:color w:val="000000"/>
                <w:kern w:val="0"/>
                <w:szCs w:val="21"/>
                <w:lang w:bidi="ar"/>
              </w:rPr>
              <w:t>18</w:t>
            </w:r>
          </w:p>
        </w:tc>
        <w:tc>
          <w:tcPr>
            <w:tcW w:w="2619" w:type="dxa"/>
            <w:tcBorders>
              <w:top w:val="single" w:color="000000" w:sz="4" w:space="0"/>
              <w:left w:val="single" w:color="000000" w:sz="4" w:space="0"/>
              <w:bottom w:val="single" w:color="000000" w:sz="4" w:space="0"/>
              <w:right w:val="single" w:color="000000" w:sz="4" w:space="0"/>
            </w:tcBorders>
            <w:vAlign w:val="center"/>
          </w:tcPr>
          <w:p w14:paraId="732AD77E">
            <w:pPr>
              <w:widowControl/>
              <w:jc w:val="center"/>
              <w:rPr>
                <w:rFonts w:ascii="宋体" w:hAnsi="宋体" w:cs="宋体"/>
                <w:color w:val="000000"/>
                <w:szCs w:val="21"/>
              </w:rPr>
            </w:pPr>
            <w:r>
              <w:rPr>
                <w:rFonts w:hint="eastAsia" w:ascii="宋体" w:hAnsi="宋体" w:cs="宋体"/>
                <w:color w:val="000000"/>
                <w:kern w:val="0"/>
                <w:szCs w:val="21"/>
                <w:lang w:bidi="ar"/>
              </w:rPr>
              <w:t>多线联动单元</w:t>
            </w:r>
          </w:p>
        </w:tc>
        <w:tc>
          <w:tcPr>
            <w:tcW w:w="1033" w:type="dxa"/>
            <w:tcBorders>
              <w:top w:val="single" w:color="000000" w:sz="4" w:space="0"/>
              <w:left w:val="single" w:color="000000" w:sz="4" w:space="0"/>
              <w:bottom w:val="single" w:color="000000" w:sz="4" w:space="0"/>
              <w:right w:val="single" w:color="000000" w:sz="4" w:space="0"/>
            </w:tcBorders>
            <w:vAlign w:val="center"/>
          </w:tcPr>
          <w:p w14:paraId="4D99F02A">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259F4A9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AFE03D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DE6E9D0">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4996ED2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A52EF51">
            <w:pPr>
              <w:widowControl/>
              <w:jc w:val="center"/>
              <w:rPr>
                <w:rFonts w:ascii="宋体" w:hAnsi="宋体" w:cs="宋体"/>
                <w:color w:val="000000"/>
                <w:szCs w:val="21"/>
              </w:rPr>
            </w:pPr>
            <w:r>
              <w:rPr>
                <w:rFonts w:hint="eastAsia" w:ascii="宋体" w:hAnsi="宋体" w:cs="宋体"/>
                <w:color w:val="000000"/>
                <w:kern w:val="0"/>
                <w:szCs w:val="21"/>
                <w:lang w:bidi="ar"/>
              </w:rPr>
              <w:t>19</w:t>
            </w:r>
          </w:p>
        </w:tc>
        <w:tc>
          <w:tcPr>
            <w:tcW w:w="2619" w:type="dxa"/>
            <w:tcBorders>
              <w:top w:val="single" w:color="000000" w:sz="4" w:space="0"/>
              <w:left w:val="single" w:color="000000" w:sz="4" w:space="0"/>
              <w:bottom w:val="single" w:color="000000" w:sz="4" w:space="0"/>
              <w:right w:val="single" w:color="000000" w:sz="4" w:space="0"/>
            </w:tcBorders>
            <w:vAlign w:val="center"/>
          </w:tcPr>
          <w:p w14:paraId="3AB3EC24">
            <w:pPr>
              <w:widowControl/>
              <w:jc w:val="center"/>
              <w:rPr>
                <w:rFonts w:ascii="宋体" w:hAnsi="宋体" w:cs="宋体"/>
                <w:color w:val="000000"/>
                <w:szCs w:val="21"/>
              </w:rPr>
            </w:pPr>
            <w:r>
              <w:rPr>
                <w:rFonts w:hint="eastAsia" w:ascii="宋体" w:hAnsi="宋体" w:cs="宋体"/>
                <w:color w:val="000000"/>
                <w:kern w:val="0"/>
                <w:szCs w:val="21"/>
                <w:lang w:bidi="ar"/>
              </w:rPr>
              <w:t>CPU板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2376E245">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22D32598">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955F85C">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225A77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4544226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E14D858">
            <w:pPr>
              <w:widowControl/>
              <w:jc w:val="center"/>
              <w:rPr>
                <w:rFonts w:ascii="宋体" w:hAnsi="宋体" w:cs="宋体"/>
                <w:color w:val="000000"/>
                <w:szCs w:val="21"/>
              </w:rPr>
            </w:pPr>
            <w:r>
              <w:rPr>
                <w:rFonts w:hint="eastAsia" w:ascii="宋体" w:hAnsi="宋体" w:cs="宋体"/>
                <w:color w:val="000000"/>
                <w:kern w:val="0"/>
                <w:szCs w:val="21"/>
                <w:lang w:bidi="ar"/>
              </w:rPr>
              <w:t>20</w:t>
            </w:r>
          </w:p>
        </w:tc>
        <w:tc>
          <w:tcPr>
            <w:tcW w:w="2619" w:type="dxa"/>
            <w:tcBorders>
              <w:top w:val="single" w:color="000000" w:sz="4" w:space="0"/>
              <w:left w:val="single" w:color="000000" w:sz="4" w:space="0"/>
              <w:bottom w:val="single" w:color="000000" w:sz="4" w:space="0"/>
              <w:right w:val="single" w:color="000000" w:sz="4" w:space="0"/>
            </w:tcBorders>
            <w:vAlign w:val="center"/>
          </w:tcPr>
          <w:p w14:paraId="40BC8661">
            <w:pPr>
              <w:widowControl/>
              <w:jc w:val="center"/>
              <w:rPr>
                <w:rFonts w:ascii="宋体" w:hAnsi="宋体" w:cs="宋体"/>
                <w:color w:val="000000"/>
                <w:szCs w:val="21"/>
              </w:rPr>
            </w:pPr>
            <w:r>
              <w:rPr>
                <w:rFonts w:hint="eastAsia" w:ascii="宋体" w:hAnsi="宋体" w:cs="宋体"/>
                <w:color w:val="000000"/>
                <w:kern w:val="0"/>
                <w:szCs w:val="21"/>
                <w:lang w:bidi="ar"/>
              </w:rPr>
              <w:t>回路板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1B7C0BFC">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00E486B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A119903">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027E334">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760846E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1E87B18">
            <w:pPr>
              <w:widowControl/>
              <w:jc w:val="center"/>
              <w:rPr>
                <w:rFonts w:ascii="宋体" w:hAnsi="宋体" w:cs="宋体"/>
                <w:color w:val="000000"/>
                <w:szCs w:val="21"/>
              </w:rPr>
            </w:pPr>
            <w:r>
              <w:rPr>
                <w:rFonts w:hint="eastAsia" w:ascii="宋体" w:hAnsi="宋体" w:cs="宋体"/>
                <w:color w:val="000000"/>
                <w:kern w:val="0"/>
                <w:szCs w:val="21"/>
                <w:lang w:bidi="ar"/>
              </w:rPr>
              <w:t>21</w:t>
            </w:r>
          </w:p>
        </w:tc>
        <w:tc>
          <w:tcPr>
            <w:tcW w:w="2619" w:type="dxa"/>
            <w:tcBorders>
              <w:top w:val="single" w:color="000000" w:sz="4" w:space="0"/>
              <w:left w:val="single" w:color="000000" w:sz="4" w:space="0"/>
              <w:bottom w:val="single" w:color="000000" w:sz="4" w:space="0"/>
              <w:right w:val="single" w:color="000000" w:sz="4" w:space="0"/>
            </w:tcBorders>
            <w:vAlign w:val="center"/>
          </w:tcPr>
          <w:p w14:paraId="2EC731F8">
            <w:pPr>
              <w:widowControl/>
              <w:jc w:val="center"/>
              <w:rPr>
                <w:rFonts w:ascii="宋体" w:hAnsi="宋体" w:cs="宋体"/>
                <w:color w:val="000000"/>
                <w:szCs w:val="21"/>
              </w:rPr>
            </w:pPr>
            <w:r>
              <w:rPr>
                <w:rFonts w:hint="eastAsia" w:ascii="宋体" w:hAnsi="宋体" w:cs="宋体"/>
                <w:color w:val="000000"/>
                <w:kern w:val="0"/>
                <w:szCs w:val="21"/>
                <w:lang w:bidi="ar"/>
              </w:rPr>
              <w:t>液晶显示屏</w:t>
            </w:r>
          </w:p>
        </w:tc>
        <w:tc>
          <w:tcPr>
            <w:tcW w:w="1033" w:type="dxa"/>
            <w:tcBorders>
              <w:top w:val="single" w:color="000000" w:sz="4" w:space="0"/>
              <w:left w:val="single" w:color="000000" w:sz="4" w:space="0"/>
              <w:bottom w:val="single" w:color="000000" w:sz="4" w:space="0"/>
              <w:right w:val="single" w:color="000000" w:sz="4" w:space="0"/>
            </w:tcBorders>
            <w:vAlign w:val="center"/>
          </w:tcPr>
          <w:p w14:paraId="2AD4C04D">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3EE20F35">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16E37C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C5F7B40">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2F6D33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694ECA7">
            <w:pPr>
              <w:widowControl/>
              <w:jc w:val="center"/>
              <w:rPr>
                <w:rFonts w:ascii="宋体" w:hAnsi="宋体" w:cs="宋体"/>
                <w:color w:val="000000"/>
                <w:szCs w:val="21"/>
              </w:rPr>
            </w:pPr>
            <w:r>
              <w:rPr>
                <w:rFonts w:hint="eastAsia" w:ascii="宋体" w:hAnsi="宋体" w:cs="宋体"/>
                <w:color w:val="000000"/>
                <w:kern w:val="0"/>
                <w:szCs w:val="21"/>
                <w:lang w:bidi="ar"/>
              </w:rPr>
              <w:t>22</w:t>
            </w:r>
          </w:p>
        </w:tc>
        <w:tc>
          <w:tcPr>
            <w:tcW w:w="2619" w:type="dxa"/>
            <w:tcBorders>
              <w:top w:val="single" w:color="000000" w:sz="4" w:space="0"/>
              <w:left w:val="single" w:color="000000" w:sz="4" w:space="0"/>
              <w:bottom w:val="single" w:color="000000" w:sz="4" w:space="0"/>
              <w:right w:val="single" w:color="000000" w:sz="4" w:space="0"/>
            </w:tcBorders>
            <w:vAlign w:val="center"/>
          </w:tcPr>
          <w:p w14:paraId="0A478954">
            <w:pPr>
              <w:widowControl/>
              <w:jc w:val="center"/>
              <w:rPr>
                <w:rFonts w:ascii="宋体" w:hAnsi="宋体" w:cs="宋体"/>
                <w:color w:val="000000"/>
                <w:szCs w:val="21"/>
              </w:rPr>
            </w:pPr>
            <w:r>
              <w:rPr>
                <w:rFonts w:hint="eastAsia" w:ascii="宋体" w:hAnsi="宋体" w:cs="宋体"/>
                <w:color w:val="000000"/>
                <w:kern w:val="0"/>
                <w:szCs w:val="21"/>
                <w:lang w:bidi="ar"/>
              </w:rPr>
              <w:t>通讯板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756C1A01">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4F2E84EF">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6AEA64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52EE43D">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3F8362D">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211199B">
            <w:pPr>
              <w:widowControl/>
              <w:jc w:val="center"/>
              <w:rPr>
                <w:rFonts w:ascii="宋体" w:hAnsi="宋体" w:cs="宋体"/>
                <w:color w:val="000000"/>
                <w:szCs w:val="21"/>
              </w:rPr>
            </w:pPr>
            <w:r>
              <w:rPr>
                <w:rFonts w:hint="eastAsia" w:ascii="宋体" w:hAnsi="宋体" w:cs="宋体"/>
                <w:color w:val="000000"/>
                <w:kern w:val="0"/>
                <w:szCs w:val="21"/>
                <w:lang w:bidi="ar"/>
              </w:rPr>
              <w:t>23</w:t>
            </w:r>
          </w:p>
        </w:tc>
        <w:tc>
          <w:tcPr>
            <w:tcW w:w="2619" w:type="dxa"/>
            <w:tcBorders>
              <w:top w:val="single" w:color="000000" w:sz="4" w:space="0"/>
              <w:left w:val="single" w:color="000000" w:sz="4" w:space="0"/>
              <w:bottom w:val="single" w:color="000000" w:sz="4" w:space="0"/>
              <w:right w:val="single" w:color="000000" w:sz="4" w:space="0"/>
            </w:tcBorders>
            <w:vAlign w:val="center"/>
          </w:tcPr>
          <w:p w14:paraId="55100D20">
            <w:pPr>
              <w:widowControl/>
              <w:jc w:val="center"/>
              <w:rPr>
                <w:rFonts w:ascii="宋体" w:hAnsi="宋体" w:cs="宋体"/>
                <w:color w:val="000000"/>
                <w:szCs w:val="21"/>
              </w:rPr>
            </w:pPr>
            <w:r>
              <w:rPr>
                <w:rFonts w:hint="eastAsia" w:ascii="宋体" w:hAnsi="宋体" w:cs="宋体"/>
                <w:color w:val="000000"/>
                <w:kern w:val="0"/>
                <w:szCs w:val="21"/>
                <w:lang w:bidi="ar"/>
              </w:rPr>
              <w:t>总线联动控制板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63D458D8">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6461369A">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0788D83">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BD98CB8">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912085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4433EB0">
            <w:pPr>
              <w:widowControl/>
              <w:jc w:val="center"/>
              <w:rPr>
                <w:rFonts w:ascii="宋体" w:hAnsi="宋体" w:cs="宋体"/>
                <w:color w:val="000000"/>
                <w:szCs w:val="21"/>
              </w:rPr>
            </w:pPr>
            <w:r>
              <w:rPr>
                <w:rFonts w:hint="eastAsia" w:ascii="宋体" w:hAnsi="宋体" w:cs="宋体"/>
                <w:color w:val="000000"/>
                <w:kern w:val="0"/>
                <w:szCs w:val="21"/>
                <w:lang w:bidi="ar"/>
              </w:rPr>
              <w:t>24</w:t>
            </w:r>
          </w:p>
        </w:tc>
        <w:tc>
          <w:tcPr>
            <w:tcW w:w="2619" w:type="dxa"/>
            <w:tcBorders>
              <w:top w:val="single" w:color="000000" w:sz="4" w:space="0"/>
              <w:left w:val="single" w:color="000000" w:sz="4" w:space="0"/>
              <w:bottom w:val="single" w:color="000000" w:sz="4" w:space="0"/>
              <w:right w:val="single" w:color="000000" w:sz="4" w:space="0"/>
            </w:tcBorders>
            <w:vAlign w:val="center"/>
          </w:tcPr>
          <w:p w14:paraId="52C8E278">
            <w:pPr>
              <w:widowControl/>
              <w:jc w:val="center"/>
              <w:rPr>
                <w:rFonts w:ascii="宋体" w:hAnsi="宋体" w:cs="宋体"/>
                <w:color w:val="000000"/>
                <w:szCs w:val="21"/>
              </w:rPr>
            </w:pPr>
            <w:r>
              <w:rPr>
                <w:rFonts w:hint="eastAsia" w:ascii="宋体" w:hAnsi="宋体" w:cs="宋体"/>
                <w:color w:val="000000"/>
                <w:kern w:val="0"/>
                <w:szCs w:val="21"/>
                <w:lang w:bidi="ar"/>
              </w:rPr>
              <w:t>主机电源板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7FA4EB3C">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74E14E3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283544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0345D53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1A8E26F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3D5A14D">
            <w:pPr>
              <w:widowControl/>
              <w:jc w:val="center"/>
              <w:rPr>
                <w:rFonts w:ascii="宋体" w:hAnsi="宋体" w:cs="宋体"/>
                <w:color w:val="000000"/>
                <w:szCs w:val="21"/>
              </w:rPr>
            </w:pPr>
            <w:r>
              <w:rPr>
                <w:rFonts w:hint="eastAsia" w:ascii="宋体" w:hAnsi="宋体" w:cs="宋体"/>
                <w:color w:val="000000"/>
                <w:kern w:val="0"/>
                <w:szCs w:val="21"/>
                <w:lang w:bidi="ar"/>
              </w:rPr>
              <w:t>25</w:t>
            </w:r>
          </w:p>
        </w:tc>
        <w:tc>
          <w:tcPr>
            <w:tcW w:w="2619" w:type="dxa"/>
            <w:tcBorders>
              <w:top w:val="single" w:color="000000" w:sz="4" w:space="0"/>
              <w:left w:val="single" w:color="000000" w:sz="4" w:space="0"/>
              <w:bottom w:val="single" w:color="000000" w:sz="4" w:space="0"/>
              <w:right w:val="single" w:color="000000" w:sz="4" w:space="0"/>
            </w:tcBorders>
            <w:vAlign w:val="center"/>
          </w:tcPr>
          <w:p w14:paraId="2599DAAB">
            <w:pPr>
              <w:widowControl/>
              <w:jc w:val="center"/>
              <w:rPr>
                <w:rFonts w:ascii="宋体" w:hAnsi="宋体" w:cs="宋体"/>
                <w:color w:val="000000"/>
                <w:szCs w:val="21"/>
              </w:rPr>
            </w:pPr>
            <w:r>
              <w:rPr>
                <w:rFonts w:hint="eastAsia" w:ascii="宋体" w:hAnsi="宋体" w:cs="宋体"/>
                <w:color w:val="000000"/>
                <w:kern w:val="0"/>
                <w:szCs w:val="21"/>
                <w:lang w:bidi="ar"/>
              </w:rPr>
              <w:t>外控电源板（带充电）</w:t>
            </w:r>
          </w:p>
        </w:tc>
        <w:tc>
          <w:tcPr>
            <w:tcW w:w="1033" w:type="dxa"/>
            <w:tcBorders>
              <w:top w:val="single" w:color="000000" w:sz="4" w:space="0"/>
              <w:left w:val="single" w:color="000000" w:sz="4" w:space="0"/>
              <w:bottom w:val="single" w:color="000000" w:sz="4" w:space="0"/>
              <w:right w:val="single" w:color="000000" w:sz="4" w:space="0"/>
            </w:tcBorders>
            <w:vAlign w:val="center"/>
          </w:tcPr>
          <w:p w14:paraId="1A66A7D7">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6F41B52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6CF6F0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EE38C68">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83A5F3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A7A43AC">
            <w:pPr>
              <w:widowControl/>
              <w:jc w:val="center"/>
              <w:rPr>
                <w:rFonts w:ascii="宋体" w:hAnsi="宋体" w:cs="宋体"/>
                <w:color w:val="000000"/>
                <w:szCs w:val="21"/>
              </w:rPr>
            </w:pPr>
            <w:r>
              <w:rPr>
                <w:rFonts w:hint="eastAsia" w:ascii="宋体" w:hAnsi="宋体" w:cs="宋体"/>
                <w:color w:val="000000"/>
                <w:kern w:val="0"/>
                <w:szCs w:val="21"/>
                <w:lang w:bidi="ar"/>
              </w:rPr>
              <w:t>26</w:t>
            </w:r>
          </w:p>
        </w:tc>
        <w:tc>
          <w:tcPr>
            <w:tcW w:w="2619" w:type="dxa"/>
            <w:tcBorders>
              <w:top w:val="single" w:color="000000" w:sz="4" w:space="0"/>
              <w:left w:val="single" w:color="000000" w:sz="4" w:space="0"/>
              <w:bottom w:val="single" w:color="000000" w:sz="4" w:space="0"/>
              <w:right w:val="single" w:color="000000" w:sz="4" w:space="0"/>
            </w:tcBorders>
            <w:vAlign w:val="center"/>
          </w:tcPr>
          <w:p w14:paraId="1F830B2F">
            <w:pPr>
              <w:widowControl/>
              <w:jc w:val="center"/>
              <w:rPr>
                <w:rFonts w:ascii="宋体" w:hAnsi="宋体" w:cs="宋体"/>
                <w:color w:val="000000"/>
                <w:szCs w:val="21"/>
              </w:rPr>
            </w:pPr>
            <w:r>
              <w:rPr>
                <w:rFonts w:hint="eastAsia" w:ascii="宋体" w:hAnsi="宋体" w:cs="宋体"/>
                <w:color w:val="000000"/>
                <w:kern w:val="0"/>
                <w:szCs w:val="21"/>
                <w:lang w:bidi="ar"/>
              </w:rPr>
              <w:t>热敏打印机头</w:t>
            </w:r>
          </w:p>
        </w:tc>
        <w:tc>
          <w:tcPr>
            <w:tcW w:w="1033" w:type="dxa"/>
            <w:tcBorders>
              <w:top w:val="single" w:color="000000" w:sz="4" w:space="0"/>
              <w:left w:val="single" w:color="000000" w:sz="4" w:space="0"/>
              <w:bottom w:val="single" w:color="000000" w:sz="4" w:space="0"/>
              <w:right w:val="single" w:color="000000" w:sz="4" w:space="0"/>
            </w:tcBorders>
            <w:vAlign w:val="center"/>
          </w:tcPr>
          <w:p w14:paraId="0150BA8F">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1111A11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C5CEDF4">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4219ABF">
            <w:pPr>
              <w:jc w:val="center"/>
              <w:rPr>
                <w:rFonts w:ascii="宋体" w:hAnsi="宋体" w:cs="宋体"/>
                <w:color w:val="000000"/>
                <w:szCs w:val="21"/>
              </w:rPr>
            </w:pPr>
            <w:r>
              <w:rPr>
                <w:rFonts w:hint="eastAsia" w:ascii="宋体" w:hAnsi="宋体" w:cs="宋体"/>
                <w:color w:val="000000"/>
                <w:szCs w:val="21"/>
              </w:rPr>
              <w:t>100元及以下</w:t>
            </w:r>
          </w:p>
        </w:tc>
      </w:tr>
      <w:tr w14:paraId="1B0B8B3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264766F">
            <w:pPr>
              <w:widowControl/>
              <w:jc w:val="center"/>
              <w:rPr>
                <w:rFonts w:ascii="宋体" w:hAnsi="宋体" w:cs="宋体"/>
                <w:color w:val="000000"/>
                <w:szCs w:val="21"/>
              </w:rPr>
            </w:pPr>
            <w:r>
              <w:rPr>
                <w:rFonts w:hint="eastAsia" w:ascii="宋体" w:hAnsi="宋体" w:cs="宋体"/>
                <w:color w:val="000000"/>
                <w:kern w:val="0"/>
                <w:szCs w:val="21"/>
                <w:lang w:bidi="ar"/>
              </w:rPr>
              <w:t>27</w:t>
            </w:r>
          </w:p>
        </w:tc>
        <w:tc>
          <w:tcPr>
            <w:tcW w:w="2619" w:type="dxa"/>
            <w:tcBorders>
              <w:top w:val="single" w:color="000000" w:sz="4" w:space="0"/>
              <w:left w:val="single" w:color="000000" w:sz="4" w:space="0"/>
              <w:bottom w:val="single" w:color="000000" w:sz="4" w:space="0"/>
              <w:right w:val="single" w:color="000000" w:sz="4" w:space="0"/>
            </w:tcBorders>
            <w:vAlign w:val="center"/>
          </w:tcPr>
          <w:p w14:paraId="732060E7">
            <w:pPr>
              <w:widowControl/>
              <w:jc w:val="center"/>
              <w:rPr>
                <w:rFonts w:ascii="宋体" w:hAnsi="宋体" w:cs="宋体"/>
                <w:color w:val="000000"/>
                <w:szCs w:val="21"/>
              </w:rPr>
            </w:pPr>
            <w:r>
              <w:rPr>
                <w:rFonts w:hint="eastAsia" w:ascii="宋体" w:hAnsi="宋体" w:cs="宋体"/>
                <w:color w:val="000000"/>
                <w:kern w:val="0"/>
                <w:szCs w:val="21"/>
                <w:lang w:bidi="ar"/>
              </w:rPr>
              <w:t>显卡板</w:t>
            </w:r>
          </w:p>
        </w:tc>
        <w:tc>
          <w:tcPr>
            <w:tcW w:w="1033" w:type="dxa"/>
            <w:tcBorders>
              <w:top w:val="single" w:color="000000" w:sz="4" w:space="0"/>
              <w:left w:val="single" w:color="000000" w:sz="4" w:space="0"/>
              <w:bottom w:val="single" w:color="000000" w:sz="4" w:space="0"/>
              <w:right w:val="single" w:color="000000" w:sz="4" w:space="0"/>
            </w:tcBorders>
            <w:vAlign w:val="center"/>
          </w:tcPr>
          <w:p w14:paraId="3C32834A">
            <w:pPr>
              <w:widowControl/>
              <w:jc w:val="center"/>
              <w:rPr>
                <w:rFonts w:ascii="宋体" w:hAnsi="宋体" w:cs="宋体"/>
                <w:color w:val="000000"/>
                <w:szCs w:val="21"/>
              </w:rPr>
            </w:pPr>
            <w:r>
              <w:rPr>
                <w:rFonts w:hint="eastAsia" w:ascii="宋体" w:hAnsi="宋体" w:cs="宋体"/>
                <w:color w:val="000000"/>
                <w:kern w:val="0"/>
                <w:szCs w:val="21"/>
                <w:lang w:bidi="ar"/>
              </w:rPr>
              <w:t>块</w:t>
            </w:r>
          </w:p>
        </w:tc>
        <w:tc>
          <w:tcPr>
            <w:tcW w:w="1105" w:type="dxa"/>
            <w:tcBorders>
              <w:top w:val="single" w:color="000000" w:sz="4" w:space="0"/>
              <w:left w:val="single" w:color="000000" w:sz="4" w:space="0"/>
              <w:bottom w:val="single" w:color="000000" w:sz="4" w:space="0"/>
              <w:right w:val="single" w:color="000000" w:sz="4" w:space="0"/>
            </w:tcBorders>
            <w:vAlign w:val="center"/>
          </w:tcPr>
          <w:p w14:paraId="78E3940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DB200A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0D08859">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D79DF8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4E85808">
            <w:pPr>
              <w:widowControl/>
              <w:jc w:val="center"/>
              <w:rPr>
                <w:rFonts w:ascii="宋体" w:hAnsi="宋体" w:cs="宋体"/>
                <w:color w:val="000000"/>
                <w:szCs w:val="21"/>
              </w:rPr>
            </w:pPr>
            <w:r>
              <w:rPr>
                <w:rFonts w:hint="eastAsia" w:ascii="宋体" w:hAnsi="宋体" w:cs="宋体"/>
                <w:color w:val="000000"/>
                <w:kern w:val="0"/>
                <w:szCs w:val="21"/>
                <w:lang w:bidi="ar"/>
              </w:rPr>
              <w:t>28</w:t>
            </w:r>
          </w:p>
        </w:tc>
        <w:tc>
          <w:tcPr>
            <w:tcW w:w="2619" w:type="dxa"/>
            <w:tcBorders>
              <w:top w:val="single" w:color="000000" w:sz="4" w:space="0"/>
              <w:left w:val="single" w:color="000000" w:sz="4" w:space="0"/>
              <w:bottom w:val="single" w:color="000000" w:sz="4" w:space="0"/>
              <w:right w:val="single" w:color="000000" w:sz="4" w:space="0"/>
            </w:tcBorders>
            <w:vAlign w:val="center"/>
          </w:tcPr>
          <w:p w14:paraId="0085F457">
            <w:pPr>
              <w:widowControl/>
              <w:jc w:val="center"/>
              <w:rPr>
                <w:rFonts w:ascii="宋体" w:hAnsi="宋体" w:cs="宋体"/>
                <w:color w:val="000000"/>
                <w:szCs w:val="21"/>
              </w:rPr>
            </w:pPr>
            <w:r>
              <w:rPr>
                <w:rFonts w:hint="eastAsia" w:ascii="宋体" w:hAnsi="宋体" w:cs="宋体"/>
                <w:color w:val="000000"/>
                <w:kern w:val="0"/>
                <w:szCs w:val="21"/>
                <w:lang w:bidi="ar"/>
              </w:rPr>
              <w:t>热敏打印纸</w:t>
            </w:r>
          </w:p>
        </w:tc>
        <w:tc>
          <w:tcPr>
            <w:tcW w:w="1033" w:type="dxa"/>
            <w:tcBorders>
              <w:top w:val="single" w:color="000000" w:sz="4" w:space="0"/>
              <w:left w:val="single" w:color="000000" w:sz="4" w:space="0"/>
              <w:bottom w:val="single" w:color="000000" w:sz="4" w:space="0"/>
              <w:right w:val="single" w:color="000000" w:sz="4" w:space="0"/>
            </w:tcBorders>
            <w:vAlign w:val="center"/>
          </w:tcPr>
          <w:p w14:paraId="2DFB6162">
            <w:pPr>
              <w:widowControl/>
              <w:jc w:val="center"/>
              <w:rPr>
                <w:rFonts w:ascii="宋体" w:hAnsi="宋体" w:cs="宋体"/>
                <w:color w:val="000000"/>
                <w:szCs w:val="21"/>
              </w:rPr>
            </w:pPr>
            <w:r>
              <w:rPr>
                <w:rFonts w:hint="eastAsia" w:ascii="宋体" w:hAnsi="宋体" w:cs="宋体"/>
                <w:color w:val="000000"/>
                <w:kern w:val="0"/>
                <w:szCs w:val="21"/>
                <w:lang w:bidi="ar"/>
              </w:rPr>
              <w:t>卷</w:t>
            </w:r>
          </w:p>
        </w:tc>
        <w:tc>
          <w:tcPr>
            <w:tcW w:w="1105" w:type="dxa"/>
            <w:tcBorders>
              <w:top w:val="single" w:color="000000" w:sz="4" w:space="0"/>
              <w:left w:val="single" w:color="000000" w:sz="4" w:space="0"/>
              <w:bottom w:val="single" w:color="000000" w:sz="4" w:space="0"/>
              <w:right w:val="single" w:color="000000" w:sz="4" w:space="0"/>
            </w:tcBorders>
            <w:vAlign w:val="center"/>
          </w:tcPr>
          <w:p w14:paraId="1FD3B3C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7A4FA6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F2805F9">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CA4A60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7816433">
            <w:pPr>
              <w:widowControl/>
              <w:jc w:val="center"/>
              <w:rPr>
                <w:rFonts w:ascii="宋体" w:hAnsi="宋体" w:cs="宋体"/>
                <w:color w:val="000000"/>
                <w:szCs w:val="21"/>
              </w:rPr>
            </w:pPr>
            <w:r>
              <w:rPr>
                <w:rFonts w:hint="eastAsia" w:ascii="宋体" w:hAnsi="宋体" w:cs="宋体"/>
                <w:color w:val="000000"/>
                <w:kern w:val="0"/>
                <w:szCs w:val="21"/>
                <w:lang w:bidi="ar"/>
              </w:rPr>
              <w:t>29</w:t>
            </w:r>
          </w:p>
        </w:tc>
        <w:tc>
          <w:tcPr>
            <w:tcW w:w="2619" w:type="dxa"/>
            <w:tcBorders>
              <w:top w:val="single" w:color="000000" w:sz="4" w:space="0"/>
              <w:left w:val="single" w:color="000000" w:sz="4" w:space="0"/>
              <w:bottom w:val="single" w:color="000000" w:sz="4" w:space="0"/>
              <w:right w:val="single" w:color="000000" w:sz="4" w:space="0"/>
            </w:tcBorders>
            <w:vAlign w:val="center"/>
          </w:tcPr>
          <w:p w14:paraId="79EDB70D">
            <w:pPr>
              <w:widowControl/>
              <w:jc w:val="center"/>
              <w:rPr>
                <w:rFonts w:ascii="宋体" w:hAnsi="宋体" w:cs="宋体"/>
                <w:color w:val="000000"/>
                <w:szCs w:val="21"/>
              </w:rPr>
            </w:pPr>
            <w:r>
              <w:rPr>
                <w:rFonts w:hint="eastAsia" w:ascii="宋体" w:hAnsi="宋体" w:cs="宋体"/>
                <w:color w:val="000000"/>
                <w:kern w:val="0"/>
                <w:szCs w:val="21"/>
                <w:lang w:bidi="ar"/>
              </w:rPr>
              <w:t>消防栓栓头DN65</w:t>
            </w:r>
          </w:p>
        </w:tc>
        <w:tc>
          <w:tcPr>
            <w:tcW w:w="1033" w:type="dxa"/>
            <w:tcBorders>
              <w:top w:val="single" w:color="000000" w:sz="4" w:space="0"/>
              <w:left w:val="single" w:color="000000" w:sz="4" w:space="0"/>
              <w:bottom w:val="single" w:color="000000" w:sz="4" w:space="0"/>
              <w:right w:val="single" w:color="000000" w:sz="4" w:space="0"/>
            </w:tcBorders>
            <w:vAlign w:val="center"/>
          </w:tcPr>
          <w:p w14:paraId="2F947100">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6CBFC97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4A0CA7A">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78461B0">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0064EF6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3835083">
            <w:pPr>
              <w:widowControl/>
              <w:jc w:val="center"/>
              <w:rPr>
                <w:rFonts w:ascii="宋体" w:hAnsi="宋体" w:cs="宋体"/>
                <w:color w:val="000000"/>
                <w:szCs w:val="21"/>
              </w:rPr>
            </w:pPr>
            <w:r>
              <w:rPr>
                <w:rFonts w:hint="eastAsia" w:ascii="宋体" w:hAnsi="宋体" w:cs="宋体"/>
                <w:color w:val="000000"/>
                <w:kern w:val="0"/>
                <w:szCs w:val="21"/>
                <w:lang w:bidi="ar"/>
              </w:rPr>
              <w:t>30</w:t>
            </w:r>
          </w:p>
        </w:tc>
        <w:tc>
          <w:tcPr>
            <w:tcW w:w="2619" w:type="dxa"/>
            <w:tcBorders>
              <w:top w:val="single" w:color="000000" w:sz="4" w:space="0"/>
              <w:left w:val="single" w:color="000000" w:sz="4" w:space="0"/>
              <w:bottom w:val="single" w:color="000000" w:sz="4" w:space="0"/>
              <w:right w:val="single" w:color="000000" w:sz="4" w:space="0"/>
            </w:tcBorders>
            <w:vAlign w:val="center"/>
          </w:tcPr>
          <w:p w14:paraId="1FB47ADF">
            <w:pPr>
              <w:widowControl/>
              <w:jc w:val="center"/>
              <w:rPr>
                <w:rFonts w:ascii="宋体" w:hAnsi="宋体" w:cs="宋体"/>
                <w:color w:val="000000"/>
                <w:szCs w:val="21"/>
              </w:rPr>
            </w:pPr>
            <w:r>
              <w:rPr>
                <w:rFonts w:hint="eastAsia" w:ascii="宋体" w:hAnsi="宋体" w:cs="宋体"/>
                <w:color w:val="000000"/>
                <w:kern w:val="0"/>
                <w:szCs w:val="21"/>
                <w:lang w:bidi="ar"/>
              </w:rPr>
              <w:t>消防栓枪头</w:t>
            </w:r>
          </w:p>
        </w:tc>
        <w:tc>
          <w:tcPr>
            <w:tcW w:w="1033" w:type="dxa"/>
            <w:tcBorders>
              <w:top w:val="single" w:color="000000" w:sz="4" w:space="0"/>
              <w:left w:val="single" w:color="000000" w:sz="4" w:space="0"/>
              <w:bottom w:val="single" w:color="000000" w:sz="4" w:space="0"/>
              <w:right w:val="single" w:color="000000" w:sz="4" w:space="0"/>
            </w:tcBorders>
            <w:vAlign w:val="center"/>
          </w:tcPr>
          <w:p w14:paraId="69DA8936">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7FCED26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C6AA7F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2B97907">
            <w:pPr>
              <w:jc w:val="center"/>
              <w:rPr>
                <w:rFonts w:ascii="宋体" w:hAnsi="宋体" w:cs="宋体"/>
                <w:color w:val="000000"/>
                <w:szCs w:val="21"/>
              </w:rPr>
            </w:pPr>
            <w:r>
              <w:rPr>
                <w:rFonts w:hint="eastAsia" w:ascii="宋体" w:hAnsi="宋体" w:cs="宋体"/>
                <w:color w:val="000000"/>
                <w:szCs w:val="21"/>
              </w:rPr>
              <w:t>100元及以下</w:t>
            </w:r>
          </w:p>
        </w:tc>
      </w:tr>
      <w:tr w14:paraId="03711F8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B408DBE">
            <w:pPr>
              <w:widowControl/>
              <w:jc w:val="center"/>
              <w:rPr>
                <w:rFonts w:ascii="宋体" w:hAnsi="宋体" w:cs="宋体"/>
                <w:color w:val="000000"/>
                <w:szCs w:val="21"/>
              </w:rPr>
            </w:pPr>
            <w:r>
              <w:rPr>
                <w:rFonts w:hint="eastAsia" w:ascii="宋体" w:hAnsi="宋体" w:cs="宋体"/>
                <w:color w:val="000000"/>
                <w:kern w:val="0"/>
                <w:szCs w:val="21"/>
                <w:lang w:bidi="ar"/>
              </w:rPr>
              <w:t>31</w:t>
            </w:r>
          </w:p>
        </w:tc>
        <w:tc>
          <w:tcPr>
            <w:tcW w:w="2619" w:type="dxa"/>
            <w:tcBorders>
              <w:top w:val="single" w:color="000000" w:sz="4" w:space="0"/>
              <w:left w:val="single" w:color="000000" w:sz="4" w:space="0"/>
              <w:bottom w:val="single" w:color="000000" w:sz="4" w:space="0"/>
              <w:right w:val="single" w:color="000000" w:sz="4" w:space="0"/>
            </w:tcBorders>
            <w:vAlign w:val="center"/>
          </w:tcPr>
          <w:p w14:paraId="368A97A1">
            <w:pPr>
              <w:widowControl/>
              <w:jc w:val="center"/>
              <w:rPr>
                <w:rFonts w:ascii="宋体" w:hAnsi="宋体" w:cs="宋体"/>
                <w:color w:val="000000"/>
                <w:szCs w:val="21"/>
              </w:rPr>
            </w:pPr>
            <w:r>
              <w:rPr>
                <w:rFonts w:hint="eastAsia" w:ascii="宋体" w:hAnsi="宋体" w:cs="宋体"/>
                <w:color w:val="000000"/>
                <w:kern w:val="0"/>
                <w:szCs w:val="21"/>
                <w:lang w:bidi="ar"/>
              </w:rPr>
              <w:t>消防水带</w:t>
            </w:r>
          </w:p>
        </w:tc>
        <w:tc>
          <w:tcPr>
            <w:tcW w:w="1033" w:type="dxa"/>
            <w:tcBorders>
              <w:top w:val="single" w:color="000000" w:sz="4" w:space="0"/>
              <w:left w:val="single" w:color="000000" w:sz="4" w:space="0"/>
              <w:bottom w:val="single" w:color="000000" w:sz="4" w:space="0"/>
              <w:right w:val="single" w:color="000000" w:sz="4" w:space="0"/>
            </w:tcBorders>
            <w:vAlign w:val="center"/>
          </w:tcPr>
          <w:p w14:paraId="7DE7C909">
            <w:pPr>
              <w:widowControl/>
              <w:jc w:val="center"/>
              <w:rPr>
                <w:rFonts w:ascii="宋体" w:hAnsi="宋体" w:cs="宋体"/>
                <w:color w:val="000000"/>
                <w:szCs w:val="21"/>
              </w:rPr>
            </w:pPr>
            <w:r>
              <w:rPr>
                <w:rFonts w:hint="eastAsia" w:ascii="宋体" w:hAnsi="宋体" w:cs="宋体"/>
                <w:color w:val="000000"/>
                <w:kern w:val="0"/>
                <w:szCs w:val="21"/>
                <w:lang w:bidi="ar"/>
              </w:rPr>
              <w:t>卷</w:t>
            </w:r>
          </w:p>
        </w:tc>
        <w:tc>
          <w:tcPr>
            <w:tcW w:w="1105" w:type="dxa"/>
            <w:tcBorders>
              <w:top w:val="single" w:color="000000" w:sz="4" w:space="0"/>
              <w:left w:val="single" w:color="000000" w:sz="4" w:space="0"/>
              <w:bottom w:val="single" w:color="000000" w:sz="4" w:space="0"/>
              <w:right w:val="single" w:color="000000" w:sz="4" w:space="0"/>
            </w:tcBorders>
            <w:vAlign w:val="center"/>
          </w:tcPr>
          <w:p w14:paraId="40185E6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1EA39EA">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1BC64BB">
            <w:pPr>
              <w:widowControl/>
              <w:jc w:val="center"/>
              <w:rPr>
                <w:rFonts w:ascii="宋体" w:hAnsi="宋体" w:cs="宋体"/>
                <w:color w:val="000000"/>
                <w:szCs w:val="21"/>
              </w:rPr>
            </w:pPr>
            <w:r>
              <w:rPr>
                <w:rFonts w:hint="eastAsia" w:ascii="宋体" w:hAnsi="宋体" w:cs="宋体"/>
                <w:color w:val="000000"/>
                <w:szCs w:val="21"/>
              </w:rPr>
              <w:t>100元及以下</w:t>
            </w:r>
          </w:p>
        </w:tc>
      </w:tr>
      <w:tr w14:paraId="198D94D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5D3FE86">
            <w:pPr>
              <w:widowControl/>
              <w:jc w:val="center"/>
              <w:rPr>
                <w:rFonts w:ascii="宋体" w:hAnsi="宋体" w:cs="宋体"/>
                <w:color w:val="000000"/>
                <w:szCs w:val="21"/>
              </w:rPr>
            </w:pPr>
            <w:r>
              <w:rPr>
                <w:rFonts w:hint="eastAsia" w:ascii="宋体" w:hAnsi="宋体" w:cs="宋体"/>
                <w:color w:val="000000"/>
                <w:kern w:val="0"/>
                <w:szCs w:val="21"/>
                <w:lang w:bidi="ar"/>
              </w:rPr>
              <w:t>32</w:t>
            </w:r>
          </w:p>
        </w:tc>
        <w:tc>
          <w:tcPr>
            <w:tcW w:w="2619" w:type="dxa"/>
            <w:tcBorders>
              <w:top w:val="single" w:color="000000" w:sz="4" w:space="0"/>
              <w:left w:val="single" w:color="000000" w:sz="4" w:space="0"/>
              <w:bottom w:val="single" w:color="000000" w:sz="4" w:space="0"/>
              <w:right w:val="single" w:color="000000" w:sz="4" w:space="0"/>
            </w:tcBorders>
            <w:vAlign w:val="center"/>
          </w:tcPr>
          <w:p w14:paraId="50D82B27">
            <w:pPr>
              <w:widowControl/>
              <w:jc w:val="center"/>
              <w:rPr>
                <w:rFonts w:ascii="宋体" w:hAnsi="宋体" w:cs="宋体"/>
                <w:color w:val="000000"/>
                <w:szCs w:val="21"/>
              </w:rPr>
            </w:pPr>
            <w:r>
              <w:rPr>
                <w:rFonts w:hint="eastAsia" w:ascii="宋体" w:hAnsi="宋体" w:cs="宋体"/>
                <w:color w:val="000000"/>
                <w:kern w:val="0"/>
                <w:szCs w:val="21"/>
                <w:lang w:bidi="ar"/>
              </w:rPr>
              <w:t>接口</w:t>
            </w:r>
          </w:p>
        </w:tc>
        <w:tc>
          <w:tcPr>
            <w:tcW w:w="1033" w:type="dxa"/>
            <w:tcBorders>
              <w:top w:val="single" w:color="000000" w:sz="4" w:space="0"/>
              <w:left w:val="single" w:color="000000" w:sz="4" w:space="0"/>
              <w:bottom w:val="single" w:color="000000" w:sz="4" w:space="0"/>
              <w:right w:val="single" w:color="000000" w:sz="4" w:space="0"/>
            </w:tcBorders>
            <w:vAlign w:val="center"/>
          </w:tcPr>
          <w:p w14:paraId="0FFC5428">
            <w:pPr>
              <w:widowControl/>
              <w:jc w:val="center"/>
              <w:rPr>
                <w:rFonts w:ascii="宋体" w:hAnsi="宋体" w:cs="宋体"/>
                <w:color w:val="000000"/>
                <w:szCs w:val="21"/>
              </w:rPr>
            </w:pPr>
            <w:r>
              <w:rPr>
                <w:rFonts w:hint="eastAsia" w:ascii="宋体" w:hAnsi="宋体" w:cs="宋体"/>
                <w:color w:val="000000"/>
                <w:kern w:val="0"/>
                <w:szCs w:val="21"/>
                <w:lang w:bidi="ar"/>
              </w:rPr>
              <w:t>对</w:t>
            </w:r>
          </w:p>
        </w:tc>
        <w:tc>
          <w:tcPr>
            <w:tcW w:w="1105" w:type="dxa"/>
            <w:tcBorders>
              <w:top w:val="single" w:color="000000" w:sz="4" w:space="0"/>
              <w:left w:val="single" w:color="000000" w:sz="4" w:space="0"/>
              <w:bottom w:val="single" w:color="000000" w:sz="4" w:space="0"/>
              <w:right w:val="single" w:color="000000" w:sz="4" w:space="0"/>
            </w:tcBorders>
            <w:vAlign w:val="center"/>
          </w:tcPr>
          <w:p w14:paraId="5E3545F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CCA00DA">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C8F8928">
            <w:pPr>
              <w:jc w:val="center"/>
              <w:rPr>
                <w:rFonts w:ascii="宋体" w:hAnsi="宋体" w:cs="宋体"/>
                <w:color w:val="000000"/>
                <w:szCs w:val="21"/>
              </w:rPr>
            </w:pPr>
            <w:r>
              <w:rPr>
                <w:rFonts w:hint="eastAsia" w:ascii="宋体" w:hAnsi="宋体" w:cs="宋体"/>
                <w:color w:val="000000"/>
                <w:szCs w:val="21"/>
              </w:rPr>
              <w:t>100元及以下</w:t>
            </w:r>
          </w:p>
        </w:tc>
      </w:tr>
      <w:tr w14:paraId="1FA365F8">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79365ED">
            <w:pPr>
              <w:widowControl/>
              <w:jc w:val="center"/>
              <w:rPr>
                <w:rFonts w:ascii="宋体" w:hAnsi="宋体" w:cs="宋体"/>
                <w:color w:val="000000"/>
                <w:szCs w:val="21"/>
              </w:rPr>
            </w:pPr>
            <w:r>
              <w:rPr>
                <w:rFonts w:hint="eastAsia" w:ascii="宋体" w:hAnsi="宋体" w:cs="宋体"/>
                <w:color w:val="000000"/>
                <w:kern w:val="0"/>
                <w:szCs w:val="21"/>
                <w:lang w:bidi="ar"/>
              </w:rPr>
              <w:t>33</w:t>
            </w:r>
          </w:p>
        </w:tc>
        <w:tc>
          <w:tcPr>
            <w:tcW w:w="2619" w:type="dxa"/>
            <w:tcBorders>
              <w:top w:val="single" w:color="000000" w:sz="4" w:space="0"/>
              <w:left w:val="single" w:color="000000" w:sz="4" w:space="0"/>
              <w:bottom w:val="single" w:color="000000" w:sz="4" w:space="0"/>
              <w:right w:val="single" w:color="000000" w:sz="4" w:space="0"/>
            </w:tcBorders>
            <w:vAlign w:val="center"/>
          </w:tcPr>
          <w:p w14:paraId="1CBA17EE">
            <w:pPr>
              <w:widowControl/>
              <w:jc w:val="center"/>
              <w:rPr>
                <w:rFonts w:ascii="宋体" w:hAnsi="宋体" w:cs="宋体"/>
                <w:color w:val="000000"/>
                <w:szCs w:val="21"/>
              </w:rPr>
            </w:pPr>
            <w:r>
              <w:rPr>
                <w:rFonts w:hint="eastAsia" w:ascii="宋体" w:hAnsi="宋体" w:cs="宋体"/>
                <w:color w:val="000000"/>
                <w:kern w:val="0"/>
                <w:szCs w:val="21"/>
                <w:lang w:bidi="ar"/>
              </w:rPr>
              <w:t>直立式喷头</w:t>
            </w:r>
          </w:p>
        </w:tc>
        <w:tc>
          <w:tcPr>
            <w:tcW w:w="1033" w:type="dxa"/>
            <w:tcBorders>
              <w:top w:val="single" w:color="000000" w:sz="4" w:space="0"/>
              <w:left w:val="single" w:color="000000" w:sz="4" w:space="0"/>
              <w:bottom w:val="single" w:color="000000" w:sz="4" w:space="0"/>
              <w:right w:val="single" w:color="000000" w:sz="4" w:space="0"/>
            </w:tcBorders>
            <w:vAlign w:val="center"/>
          </w:tcPr>
          <w:p w14:paraId="2A34CF58">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47031A31">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D109E9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1A204EA">
            <w:pPr>
              <w:jc w:val="center"/>
              <w:rPr>
                <w:rFonts w:ascii="宋体" w:hAnsi="宋体" w:cs="宋体"/>
                <w:color w:val="000000"/>
                <w:szCs w:val="21"/>
              </w:rPr>
            </w:pPr>
            <w:r>
              <w:rPr>
                <w:rFonts w:hint="eastAsia" w:ascii="宋体" w:hAnsi="宋体" w:cs="宋体"/>
                <w:color w:val="000000"/>
                <w:szCs w:val="21"/>
              </w:rPr>
              <w:t>100元及以下</w:t>
            </w:r>
          </w:p>
        </w:tc>
      </w:tr>
      <w:tr w14:paraId="64ED17E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A8B9037">
            <w:pPr>
              <w:widowControl/>
              <w:jc w:val="center"/>
              <w:rPr>
                <w:rFonts w:ascii="宋体" w:hAnsi="宋体" w:cs="宋体"/>
                <w:color w:val="000000"/>
                <w:szCs w:val="21"/>
              </w:rPr>
            </w:pPr>
            <w:r>
              <w:rPr>
                <w:rFonts w:hint="eastAsia" w:ascii="宋体" w:hAnsi="宋体" w:cs="宋体"/>
                <w:color w:val="000000"/>
                <w:kern w:val="0"/>
                <w:szCs w:val="21"/>
                <w:lang w:bidi="ar"/>
              </w:rPr>
              <w:t>34</w:t>
            </w:r>
          </w:p>
        </w:tc>
        <w:tc>
          <w:tcPr>
            <w:tcW w:w="2619" w:type="dxa"/>
            <w:tcBorders>
              <w:top w:val="single" w:color="000000" w:sz="4" w:space="0"/>
              <w:left w:val="single" w:color="000000" w:sz="4" w:space="0"/>
              <w:bottom w:val="single" w:color="000000" w:sz="4" w:space="0"/>
              <w:right w:val="single" w:color="000000" w:sz="4" w:space="0"/>
            </w:tcBorders>
            <w:vAlign w:val="center"/>
          </w:tcPr>
          <w:p w14:paraId="372885DE">
            <w:pPr>
              <w:widowControl/>
              <w:jc w:val="center"/>
              <w:rPr>
                <w:rFonts w:ascii="宋体" w:hAnsi="宋体" w:cs="宋体"/>
                <w:color w:val="000000"/>
                <w:szCs w:val="21"/>
              </w:rPr>
            </w:pPr>
            <w:r>
              <w:rPr>
                <w:rFonts w:hint="eastAsia" w:ascii="宋体" w:hAnsi="宋体" w:cs="宋体"/>
                <w:color w:val="000000"/>
                <w:kern w:val="0"/>
                <w:szCs w:val="21"/>
                <w:lang w:bidi="ar"/>
              </w:rPr>
              <w:t>DN150信号阀</w:t>
            </w:r>
          </w:p>
        </w:tc>
        <w:tc>
          <w:tcPr>
            <w:tcW w:w="1033" w:type="dxa"/>
            <w:tcBorders>
              <w:top w:val="single" w:color="000000" w:sz="4" w:space="0"/>
              <w:left w:val="single" w:color="000000" w:sz="4" w:space="0"/>
              <w:bottom w:val="single" w:color="000000" w:sz="4" w:space="0"/>
              <w:right w:val="single" w:color="000000" w:sz="4" w:space="0"/>
            </w:tcBorders>
            <w:vAlign w:val="center"/>
          </w:tcPr>
          <w:p w14:paraId="28A4611A">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452DF8EA">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FB2F404">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F47EA1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0337922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6BAC9B0">
            <w:pPr>
              <w:widowControl/>
              <w:jc w:val="center"/>
              <w:rPr>
                <w:rFonts w:ascii="宋体" w:hAnsi="宋体" w:cs="宋体"/>
                <w:color w:val="000000"/>
                <w:szCs w:val="21"/>
              </w:rPr>
            </w:pPr>
            <w:r>
              <w:rPr>
                <w:rFonts w:hint="eastAsia" w:ascii="宋体" w:hAnsi="宋体" w:cs="宋体"/>
                <w:color w:val="000000"/>
                <w:kern w:val="0"/>
                <w:szCs w:val="21"/>
                <w:lang w:bidi="ar"/>
              </w:rPr>
              <w:t>35</w:t>
            </w:r>
          </w:p>
        </w:tc>
        <w:tc>
          <w:tcPr>
            <w:tcW w:w="2619" w:type="dxa"/>
            <w:tcBorders>
              <w:top w:val="single" w:color="000000" w:sz="4" w:space="0"/>
              <w:left w:val="single" w:color="000000" w:sz="4" w:space="0"/>
              <w:bottom w:val="single" w:color="000000" w:sz="4" w:space="0"/>
              <w:right w:val="single" w:color="000000" w:sz="4" w:space="0"/>
            </w:tcBorders>
            <w:vAlign w:val="center"/>
          </w:tcPr>
          <w:p w14:paraId="76D85DCB">
            <w:pPr>
              <w:widowControl/>
              <w:jc w:val="center"/>
              <w:rPr>
                <w:rFonts w:ascii="宋体" w:hAnsi="宋体" w:cs="宋体"/>
                <w:color w:val="000000"/>
                <w:szCs w:val="21"/>
              </w:rPr>
            </w:pPr>
            <w:r>
              <w:rPr>
                <w:rFonts w:hint="eastAsia" w:ascii="宋体" w:hAnsi="宋体" w:cs="宋体"/>
                <w:color w:val="000000"/>
                <w:kern w:val="0"/>
                <w:szCs w:val="21"/>
                <w:lang w:bidi="ar"/>
              </w:rPr>
              <w:t>DN150水流指示器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6593347F">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5B51E0CC">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F29EB3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630A505">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902DBD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5EE93C6">
            <w:pPr>
              <w:widowControl/>
              <w:jc w:val="center"/>
              <w:rPr>
                <w:rFonts w:ascii="宋体" w:hAnsi="宋体" w:cs="宋体"/>
                <w:color w:val="000000"/>
                <w:szCs w:val="21"/>
              </w:rPr>
            </w:pPr>
            <w:r>
              <w:rPr>
                <w:rFonts w:hint="eastAsia" w:ascii="宋体" w:hAnsi="宋体" w:cs="宋体"/>
                <w:color w:val="000000"/>
                <w:kern w:val="0"/>
                <w:szCs w:val="21"/>
                <w:lang w:bidi="ar"/>
              </w:rPr>
              <w:t>36</w:t>
            </w:r>
          </w:p>
        </w:tc>
        <w:tc>
          <w:tcPr>
            <w:tcW w:w="2619" w:type="dxa"/>
            <w:tcBorders>
              <w:top w:val="single" w:color="000000" w:sz="4" w:space="0"/>
              <w:left w:val="single" w:color="000000" w:sz="4" w:space="0"/>
              <w:bottom w:val="single" w:color="000000" w:sz="4" w:space="0"/>
              <w:right w:val="single" w:color="000000" w:sz="4" w:space="0"/>
            </w:tcBorders>
            <w:vAlign w:val="center"/>
          </w:tcPr>
          <w:p w14:paraId="2CA7CFDA">
            <w:pPr>
              <w:widowControl/>
              <w:jc w:val="center"/>
              <w:rPr>
                <w:rFonts w:ascii="宋体" w:hAnsi="宋体" w:cs="宋体"/>
                <w:color w:val="000000"/>
                <w:szCs w:val="21"/>
              </w:rPr>
            </w:pPr>
            <w:r>
              <w:rPr>
                <w:rFonts w:hint="eastAsia" w:ascii="宋体" w:hAnsi="宋体" w:cs="宋体"/>
                <w:color w:val="000000"/>
                <w:kern w:val="0"/>
                <w:szCs w:val="21"/>
                <w:lang w:bidi="ar"/>
              </w:rPr>
              <w:t>压力开关</w:t>
            </w:r>
          </w:p>
        </w:tc>
        <w:tc>
          <w:tcPr>
            <w:tcW w:w="1033" w:type="dxa"/>
            <w:tcBorders>
              <w:top w:val="single" w:color="000000" w:sz="4" w:space="0"/>
              <w:left w:val="single" w:color="000000" w:sz="4" w:space="0"/>
              <w:bottom w:val="single" w:color="000000" w:sz="4" w:space="0"/>
              <w:right w:val="single" w:color="000000" w:sz="4" w:space="0"/>
            </w:tcBorders>
            <w:vAlign w:val="center"/>
          </w:tcPr>
          <w:p w14:paraId="3CDD9C27">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1CBC571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0656067">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C30037E">
            <w:pPr>
              <w:jc w:val="center"/>
              <w:rPr>
                <w:rFonts w:ascii="宋体" w:hAnsi="宋体" w:cs="宋体"/>
                <w:color w:val="000000"/>
                <w:szCs w:val="21"/>
              </w:rPr>
            </w:pPr>
            <w:r>
              <w:rPr>
                <w:rFonts w:hint="eastAsia" w:ascii="宋体" w:hAnsi="宋体" w:cs="宋体"/>
                <w:color w:val="000000"/>
                <w:szCs w:val="21"/>
              </w:rPr>
              <w:t>100元及以下</w:t>
            </w:r>
          </w:p>
        </w:tc>
      </w:tr>
      <w:tr w14:paraId="29C2260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DB84130">
            <w:pPr>
              <w:widowControl/>
              <w:jc w:val="center"/>
              <w:rPr>
                <w:rFonts w:ascii="宋体" w:hAnsi="宋体" w:cs="宋体"/>
                <w:color w:val="000000"/>
                <w:szCs w:val="21"/>
              </w:rPr>
            </w:pPr>
            <w:r>
              <w:rPr>
                <w:rFonts w:hint="eastAsia" w:ascii="宋体" w:hAnsi="宋体" w:cs="宋体"/>
                <w:color w:val="000000"/>
                <w:kern w:val="0"/>
                <w:szCs w:val="21"/>
                <w:lang w:bidi="ar"/>
              </w:rPr>
              <w:t>37</w:t>
            </w:r>
          </w:p>
        </w:tc>
        <w:tc>
          <w:tcPr>
            <w:tcW w:w="2619" w:type="dxa"/>
            <w:tcBorders>
              <w:top w:val="single" w:color="000000" w:sz="4" w:space="0"/>
              <w:left w:val="single" w:color="000000" w:sz="4" w:space="0"/>
              <w:bottom w:val="single" w:color="000000" w:sz="4" w:space="0"/>
              <w:right w:val="single" w:color="000000" w:sz="4" w:space="0"/>
            </w:tcBorders>
            <w:vAlign w:val="center"/>
          </w:tcPr>
          <w:p w14:paraId="10A99ADE">
            <w:pPr>
              <w:widowControl/>
              <w:jc w:val="center"/>
              <w:rPr>
                <w:rFonts w:ascii="宋体" w:hAnsi="宋体" w:cs="宋体"/>
                <w:color w:val="000000"/>
                <w:szCs w:val="21"/>
              </w:rPr>
            </w:pPr>
            <w:r>
              <w:rPr>
                <w:rFonts w:hint="eastAsia" w:ascii="宋体" w:hAnsi="宋体" w:cs="宋体"/>
                <w:color w:val="000000"/>
                <w:kern w:val="0"/>
                <w:szCs w:val="21"/>
                <w:lang w:bidi="ar"/>
              </w:rPr>
              <w:t>延时器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55A6F49D">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01030D3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D1DE8B0">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F74AA9D">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6CB28F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839779E">
            <w:pPr>
              <w:widowControl/>
              <w:jc w:val="center"/>
              <w:rPr>
                <w:rFonts w:ascii="宋体" w:hAnsi="宋体" w:cs="宋体"/>
                <w:color w:val="000000"/>
                <w:szCs w:val="21"/>
              </w:rPr>
            </w:pPr>
            <w:r>
              <w:rPr>
                <w:rFonts w:hint="eastAsia" w:ascii="宋体" w:hAnsi="宋体" w:cs="宋体"/>
                <w:color w:val="000000"/>
                <w:kern w:val="0"/>
                <w:szCs w:val="21"/>
                <w:lang w:bidi="ar"/>
              </w:rPr>
              <w:t>38</w:t>
            </w:r>
          </w:p>
        </w:tc>
        <w:tc>
          <w:tcPr>
            <w:tcW w:w="2619" w:type="dxa"/>
            <w:tcBorders>
              <w:top w:val="single" w:color="000000" w:sz="4" w:space="0"/>
              <w:left w:val="single" w:color="000000" w:sz="4" w:space="0"/>
              <w:bottom w:val="single" w:color="000000" w:sz="4" w:space="0"/>
              <w:right w:val="single" w:color="000000" w:sz="4" w:space="0"/>
            </w:tcBorders>
            <w:vAlign w:val="center"/>
          </w:tcPr>
          <w:p w14:paraId="6FAEAE27">
            <w:pPr>
              <w:widowControl/>
              <w:jc w:val="center"/>
              <w:rPr>
                <w:rFonts w:ascii="宋体" w:hAnsi="宋体" w:cs="宋体"/>
                <w:color w:val="000000"/>
                <w:szCs w:val="21"/>
              </w:rPr>
            </w:pPr>
            <w:r>
              <w:rPr>
                <w:rFonts w:hint="eastAsia" w:ascii="宋体" w:hAnsi="宋体" w:cs="宋体"/>
                <w:color w:val="000000"/>
                <w:kern w:val="0"/>
                <w:szCs w:val="21"/>
                <w:lang w:bidi="ar"/>
              </w:rPr>
              <w:t>独立式应急照明</w:t>
            </w:r>
          </w:p>
        </w:tc>
        <w:tc>
          <w:tcPr>
            <w:tcW w:w="1033" w:type="dxa"/>
            <w:tcBorders>
              <w:top w:val="single" w:color="000000" w:sz="4" w:space="0"/>
              <w:left w:val="single" w:color="000000" w:sz="4" w:space="0"/>
              <w:bottom w:val="single" w:color="000000" w:sz="4" w:space="0"/>
              <w:right w:val="single" w:color="000000" w:sz="4" w:space="0"/>
            </w:tcBorders>
            <w:vAlign w:val="center"/>
          </w:tcPr>
          <w:p w14:paraId="1B5C127E">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363E3D39">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CBF7832">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872CA64">
            <w:pPr>
              <w:jc w:val="center"/>
              <w:rPr>
                <w:rFonts w:ascii="宋体" w:hAnsi="宋体" w:cs="宋体"/>
                <w:color w:val="000000"/>
                <w:szCs w:val="21"/>
              </w:rPr>
            </w:pPr>
            <w:r>
              <w:rPr>
                <w:rFonts w:hint="eastAsia" w:ascii="宋体" w:hAnsi="宋体" w:cs="宋体"/>
                <w:color w:val="000000"/>
                <w:szCs w:val="21"/>
              </w:rPr>
              <w:t>100元及以下</w:t>
            </w:r>
          </w:p>
        </w:tc>
      </w:tr>
      <w:tr w14:paraId="2202EE8C">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AEF158C">
            <w:pPr>
              <w:widowControl/>
              <w:jc w:val="center"/>
              <w:rPr>
                <w:rFonts w:ascii="宋体" w:hAnsi="宋体" w:cs="宋体"/>
                <w:color w:val="000000"/>
                <w:szCs w:val="21"/>
              </w:rPr>
            </w:pPr>
            <w:r>
              <w:rPr>
                <w:rFonts w:hint="eastAsia" w:ascii="宋体" w:hAnsi="宋体" w:cs="宋体"/>
                <w:color w:val="000000"/>
                <w:kern w:val="0"/>
                <w:szCs w:val="21"/>
                <w:lang w:bidi="ar"/>
              </w:rPr>
              <w:t>39</w:t>
            </w:r>
          </w:p>
        </w:tc>
        <w:tc>
          <w:tcPr>
            <w:tcW w:w="2619" w:type="dxa"/>
            <w:tcBorders>
              <w:top w:val="single" w:color="000000" w:sz="4" w:space="0"/>
              <w:left w:val="single" w:color="000000" w:sz="4" w:space="0"/>
              <w:bottom w:val="single" w:color="000000" w:sz="4" w:space="0"/>
              <w:right w:val="single" w:color="000000" w:sz="4" w:space="0"/>
            </w:tcBorders>
            <w:vAlign w:val="center"/>
          </w:tcPr>
          <w:p w14:paraId="511A6DD5">
            <w:pPr>
              <w:widowControl/>
              <w:jc w:val="center"/>
              <w:rPr>
                <w:rFonts w:ascii="宋体" w:hAnsi="宋体" w:cs="宋体"/>
                <w:color w:val="000000"/>
                <w:szCs w:val="21"/>
              </w:rPr>
            </w:pPr>
            <w:r>
              <w:rPr>
                <w:rFonts w:hint="eastAsia" w:ascii="宋体" w:hAnsi="宋体" w:cs="宋体"/>
                <w:color w:val="000000"/>
                <w:kern w:val="0"/>
                <w:szCs w:val="21"/>
                <w:lang w:bidi="ar"/>
              </w:rPr>
              <w:t>独立式疏散标志灯</w:t>
            </w:r>
          </w:p>
        </w:tc>
        <w:tc>
          <w:tcPr>
            <w:tcW w:w="1033" w:type="dxa"/>
            <w:tcBorders>
              <w:top w:val="single" w:color="000000" w:sz="4" w:space="0"/>
              <w:left w:val="single" w:color="000000" w:sz="4" w:space="0"/>
              <w:bottom w:val="single" w:color="000000" w:sz="4" w:space="0"/>
              <w:right w:val="single" w:color="000000" w:sz="4" w:space="0"/>
            </w:tcBorders>
            <w:vAlign w:val="center"/>
          </w:tcPr>
          <w:p w14:paraId="7DF45346">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212BAEE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23E17ACF">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C311518">
            <w:pPr>
              <w:jc w:val="center"/>
              <w:rPr>
                <w:rFonts w:ascii="宋体" w:hAnsi="宋体" w:eastAsia="宋体" w:cs="宋体"/>
                <w:color w:val="000000"/>
                <w:szCs w:val="21"/>
              </w:rPr>
            </w:pPr>
            <w:r>
              <w:rPr>
                <w:rFonts w:hint="eastAsia" w:ascii="宋体" w:hAnsi="宋体" w:cs="宋体"/>
                <w:color w:val="000000"/>
                <w:szCs w:val="21"/>
              </w:rPr>
              <w:t>100元及以下</w:t>
            </w:r>
          </w:p>
        </w:tc>
      </w:tr>
      <w:tr w14:paraId="6D7A391F">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5862682">
            <w:pPr>
              <w:widowControl/>
              <w:jc w:val="center"/>
              <w:rPr>
                <w:rFonts w:ascii="宋体" w:hAnsi="宋体" w:cs="宋体"/>
                <w:color w:val="000000"/>
                <w:szCs w:val="21"/>
              </w:rPr>
            </w:pPr>
            <w:r>
              <w:rPr>
                <w:rFonts w:hint="eastAsia" w:ascii="宋体" w:hAnsi="宋体" w:cs="宋体"/>
                <w:color w:val="000000"/>
                <w:kern w:val="0"/>
                <w:szCs w:val="21"/>
                <w:lang w:bidi="ar"/>
              </w:rPr>
              <w:t>40</w:t>
            </w:r>
          </w:p>
        </w:tc>
        <w:tc>
          <w:tcPr>
            <w:tcW w:w="2619" w:type="dxa"/>
            <w:tcBorders>
              <w:top w:val="single" w:color="000000" w:sz="4" w:space="0"/>
              <w:left w:val="single" w:color="000000" w:sz="4" w:space="0"/>
              <w:bottom w:val="single" w:color="000000" w:sz="4" w:space="0"/>
              <w:right w:val="single" w:color="000000" w:sz="4" w:space="0"/>
            </w:tcBorders>
            <w:vAlign w:val="center"/>
          </w:tcPr>
          <w:p w14:paraId="66802529">
            <w:pPr>
              <w:widowControl/>
              <w:jc w:val="center"/>
              <w:rPr>
                <w:rFonts w:ascii="宋体" w:hAnsi="宋体" w:cs="宋体"/>
                <w:color w:val="000000"/>
                <w:szCs w:val="21"/>
              </w:rPr>
            </w:pPr>
            <w:r>
              <w:rPr>
                <w:rFonts w:hint="eastAsia" w:ascii="宋体" w:hAnsi="宋体" w:cs="宋体"/>
                <w:color w:val="000000"/>
                <w:kern w:val="0"/>
                <w:szCs w:val="21"/>
                <w:lang w:bidi="ar"/>
              </w:rPr>
              <w:t>卷帘门控制箱</w:t>
            </w:r>
          </w:p>
        </w:tc>
        <w:tc>
          <w:tcPr>
            <w:tcW w:w="1033" w:type="dxa"/>
            <w:tcBorders>
              <w:top w:val="single" w:color="000000" w:sz="4" w:space="0"/>
              <w:left w:val="single" w:color="000000" w:sz="4" w:space="0"/>
              <w:bottom w:val="single" w:color="000000" w:sz="4" w:space="0"/>
              <w:right w:val="single" w:color="000000" w:sz="4" w:space="0"/>
            </w:tcBorders>
            <w:vAlign w:val="center"/>
          </w:tcPr>
          <w:p w14:paraId="5D1E913A">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78B63728">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16EF89D">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94454E9">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4953866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4EE54BC">
            <w:pPr>
              <w:widowControl/>
              <w:jc w:val="center"/>
              <w:rPr>
                <w:rFonts w:ascii="宋体" w:hAnsi="宋体" w:cs="宋体"/>
                <w:color w:val="000000"/>
                <w:szCs w:val="21"/>
              </w:rPr>
            </w:pPr>
            <w:r>
              <w:rPr>
                <w:rFonts w:hint="eastAsia" w:ascii="宋体" w:hAnsi="宋体" w:cs="宋体"/>
                <w:color w:val="000000"/>
                <w:kern w:val="0"/>
                <w:szCs w:val="21"/>
                <w:lang w:bidi="ar"/>
              </w:rPr>
              <w:t>41</w:t>
            </w:r>
          </w:p>
        </w:tc>
        <w:tc>
          <w:tcPr>
            <w:tcW w:w="2619" w:type="dxa"/>
            <w:tcBorders>
              <w:top w:val="single" w:color="000000" w:sz="4" w:space="0"/>
              <w:left w:val="single" w:color="000000" w:sz="4" w:space="0"/>
              <w:bottom w:val="single" w:color="000000" w:sz="4" w:space="0"/>
              <w:right w:val="single" w:color="000000" w:sz="4" w:space="0"/>
            </w:tcBorders>
            <w:vAlign w:val="center"/>
          </w:tcPr>
          <w:p w14:paraId="463572E8">
            <w:pPr>
              <w:widowControl/>
              <w:jc w:val="center"/>
              <w:rPr>
                <w:rFonts w:ascii="宋体" w:hAnsi="宋体" w:cs="宋体"/>
                <w:color w:val="000000"/>
                <w:szCs w:val="21"/>
              </w:rPr>
            </w:pPr>
            <w:r>
              <w:rPr>
                <w:rFonts w:hint="eastAsia" w:ascii="宋体" w:hAnsi="宋体" w:cs="宋体"/>
                <w:color w:val="000000"/>
                <w:kern w:val="0"/>
                <w:szCs w:val="21"/>
                <w:lang w:bidi="ar"/>
              </w:rPr>
              <w:t>卷帘门按钮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0B861A7B">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32B29F40">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994276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3B95DE3">
            <w:pPr>
              <w:jc w:val="center"/>
              <w:rPr>
                <w:rFonts w:ascii="宋体" w:hAnsi="宋体" w:eastAsia="宋体" w:cs="宋体"/>
                <w:color w:val="000000"/>
                <w:szCs w:val="21"/>
              </w:rPr>
            </w:pPr>
            <w:r>
              <w:rPr>
                <w:rFonts w:hint="eastAsia" w:ascii="宋体" w:hAnsi="宋体" w:cs="宋体"/>
                <w:color w:val="000000"/>
                <w:szCs w:val="21"/>
              </w:rPr>
              <w:t>100元及以下</w:t>
            </w:r>
          </w:p>
        </w:tc>
      </w:tr>
      <w:tr w14:paraId="1B8C6F91">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45845C9">
            <w:pPr>
              <w:widowControl/>
              <w:jc w:val="center"/>
              <w:rPr>
                <w:rFonts w:ascii="宋体" w:hAnsi="宋体" w:cs="宋体"/>
                <w:color w:val="000000"/>
                <w:szCs w:val="21"/>
              </w:rPr>
            </w:pPr>
            <w:r>
              <w:rPr>
                <w:rFonts w:hint="eastAsia" w:ascii="宋体" w:hAnsi="宋体" w:cs="宋体"/>
                <w:color w:val="000000"/>
                <w:kern w:val="0"/>
                <w:szCs w:val="21"/>
                <w:lang w:bidi="ar"/>
              </w:rPr>
              <w:t>42</w:t>
            </w:r>
          </w:p>
        </w:tc>
        <w:tc>
          <w:tcPr>
            <w:tcW w:w="2619" w:type="dxa"/>
            <w:tcBorders>
              <w:top w:val="single" w:color="000000" w:sz="4" w:space="0"/>
              <w:left w:val="single" w:color="000000" w:sz="4" w:space="0"/>
              <w:bottom w:val="single" w:color="000000" w:sz="4" w:space="0"/>
              <w:right w:val="single" w:color="000000" w:sz="4" w:space="0"/>
            </w:tcBorders>
            <w:vAlign w:val="center"/>
          </w:tcPr>
          <w:p w14:paraId="6979E91D">
            <w:pPr>
              <w:widowControl/>
              <w:jc w:val="center"/>
              <w:rPr>
                <w:rFonts w:ascii="宋体" w:hAnsi="宋体" w:cs="宋体"/>
                <w:color w:val="000000"/>
                <w:szCs w:val="21"/>
              </w:rPr>
            </w:pPr>
            <w:r>
              <w:rPr>
                <w:rFonts w:hint="eastAsia" w:ascii="宋体" w:hAnsi="宋体" w:cs="宋体"/>
                <w:color w:val="000000"/>
                <w:kern w:val="0"/>
                <w:szCs w:val="21"/>
                <w:lang w:bidi="ar"/>
              </w:rPr>
              <w:t>无机布</w:t>
            </w:r>
          </w:p>
        </w:tc>
        <w:tc>
          <w:tcPr>
            <w:tcW w:w="1033" w:type="dxa"/>
            <w:tcBorders>
              <w:top w:val="single" w:color="000000" w:sz="4" w:space="0"/>
              <w:left w:val="single" w:color="000000" w:sz="4" w:space="0"/>
              <w:bottom w:val="single" w:color="000000" w:sz="4" w:space="0"/>
              <w:right w:val="single" w:color="000000" w:sz="4" w:space="0"/>
            </w:tcBorders>
            <w:vAlign w:val="center"/>
          </w:tcPr>
          <w:p w14:paraId="04F0E71D">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28DEF464">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C52644B">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FDE3B0E">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3DF2203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5A0BB3B">
            <w:pPr>
              <w:widowControl/>
              <w:jc w:val="center"/>
              <w:rPr>
                <w:rFonts w:ascii="宋体" w:hAnsi="宋体" w:cs="宋体"/>
                <w:color w:val="000000"/>
                <w:szCs w:val="21"/>
              </w:rPr>
            </w:pPr>
            <w:r>
              <w:rPr>
                <w:rFonts w:hint="eastAsia" w:ascii="宋体" w:hAnsi="宋体" w:cs="宋体"/>
                <w:color w:val="000000"/>
                <w:kern w:val="0"/>
                <w:szCs w:val="21"/>
                <w:lang w:bidi="ar"/>
              </w:rPr>
              <w:t>43</w:t>
            </w:r>
          </w:p>
        </w:tc>
        <w:tc>
          <w:tcPr>
            <w:tcW w:w="2619" w:type="dxa"/>
            <w:tcBorders>
              <w:top w:val="single" w:color="000000" w:sz="4" w:space="0"/>
              <w:left w:val="single" w:color="000000" w:sz="4" w:space="0"/>
              <w:bottom w:val="single" w:color="000000" w:sz="4" w:space="0"/>
              <w:right w:val="single" w:color="000000" w:sz="4" w:space="0"/>
            </w:tcBorders>
            <w:vAlign w:val="center"/>
          </w:tcPr>
          <w:p w14:paraId="323BB10F">
            <w:pPr>
              <w:widowControl/>
              <w:jc w:val="center"/>
              <w:rPr>
                <w:rFonts w:ascii="宋体" w:hAnsi="宋体" w:cs="宋体"/>
                <w:color w:val="000000"/>
                <w:szCs w:val="21"/>
              </w:rPr>
            </w:pPr>
            <w:r>
              <w:rPr>
                <w:rFonts w:hint="eastAsia" w:ascii="宋体" w:hAnsi="宋体" w:cs="宋体"/>
                <w:color w:val="000000"/>
                <w:kern w:val="0"/>
                <w:szCs w:val="21"/>
                <w:lang w:bidi="ar"/>
              </w:rPr>
              <w:t>钢制防火门</w:t>
            </w:r>
          </w:p>
        </w:tc>
        <w:tc>
          <w:tcPr>
            <w:tcW w:w="1033" w:type="dxa"/>
            <w:tcBorders>
              <w:top w:val="single" w:color="000000" w:sz="4" w:space="0"/>
              <w:left w:val="single" w:color="000000" w:sz="4" w:space="0"/>
              <w:bottom w:val="single" w:color="000000" w:sz="4" w:space="0"/>
              <w:right w:val="single" w:color="000000" w:sz="4" w:space="0"/>
            </w:tcBorders>
            <w:vAlign w:val="center"/>
          </w:tcPr>
          <w:p w14:paraId="37045235">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3BD29937">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194CA448">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2C4714B5">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3D05904">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CCAF497">
            <w:pPr>
              <w:widowControl/>
              <w:jc w:val="center"/>
              <w:rPr>
                <w:rFonts w:ascii="宋体" w:hAnsi="宋体" w:cs="宋体"/>
                <w:color w:val="000000"/>
                <w:szCs w:val="21"/>
              </w:rPr>
            </w:pPr>
            <w:r>
              <w:rPr>
                <w:rFonts w:hint="eastAsia" w:ascii="宋体" w:hAnsi="宋体" w:cs="宋体"/>
                <w:color w:val="000000"/>
                <w:kern w:val="0"/>
                <w:szCs w:val="21"/>
                <w:lang w:bidi="ar"/>
              </w:rPr>
              <w:t>44</w:t>
            </w:r>
          </w:p>
        </w:tc>
        <w:tc>
          <w:tcPr>
            <w:tcW w:w="2619" w:type="dxa"/>
            <w:tcBorders>
              <w:top w:val="single" w:color="000000" w:sz="4" w:space="0"/>
              <w:left w:val="single" w:color="000000" w:sz="4" w:space="0"/>
              <w:bottom w:val="single" w:color="000000" w:sz="4" w:space="0"/>
              <w:right w:val="single" w:color="000000" w:sz="4" w:space="0"/>
            </w:tcBorders>
            <w:vAlign w:val="center"/>
          </w:tcPr>
          <w:p w14:paraId="6115FC13">
            <w:pPr>
              <w:widowControl/>
              <w:jc w:val="center"/>
              <w:rPr>
                <w:rFonts w:ascii="宋体" w:hAnsi="宋体" w:cs="宋体"/>
                <w:color w:val="000000"/>
                <w:szCs w:val="21"/>
              </w:rPr>
            </w:pPr>
            <w:r>
              <w:rPr>
                <w:rFonts w:hint="eastAsia" w:ascii="宋体" w:hAnsi="宋体" w:cs="宋体"/>
                <w:color w:val="000000"/>
                <w:kern w:val="0"/>
                <w:szCs w:val="21"/>
                <w:lang w:bidi="ar"/>
              </w:rPr>
              <w:t>闭门器</w:t>
            </w:r>
          </w:p>
        </w:tc>
        <w:tc>
          <w:tcPr>
            <w:tcW w:w="1033" w:type="dxa"/>
            <w:tcBorders>
              <w:top w:val="single" w:color="000000" w:sz="4" w:space="0"/>
              <w:left w:val="single" w:color="000000" w:sz="4" w:space="0"/>
              <w:bottom w:val="single" w:color="000000" w:sz="4" w:space="0"/>
              <w:right w:val="single" w:color="000000" w:sz="4" w:space="0"/>
            </w:tcBorders>
            <w:vAlign w:val="center"/>
          </w:tcPr>
          <w:p w14:paraId="23746016">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4296F725">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494276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2B84F8B">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3D4898D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AF3E045">
            <w:pPr>
              <w:widowControl/>
              <w:jc w:val="center"/>
              <w:rPr>
                <w:rFonts w:ascii="宋体" w:hAnsi="宋体" w:cs="宋体"/>
                <w:color w:val="000000"/>
                <w:szCs w:val="21"/>
              </w:rPr>
            </w:pPr>
            <w:r>
              <w:rPr>
                <w:rFonts w:hint="eastAsia" w:ascii="宋体" w:hAnsi="宋体" w:cs="宋体"/>
                <w:color w:val="000000"/>
                <w:kern w:val="0"/>
                <w:szCs w:val="21"/>
                <w:lang w:bidi="ar"/>
              </w:rPr>
              <w:t>45</w:t>
            </w:r>
          </w:p>
        </w:tc>
        <w:tc>
          <w:tcPr>
            <w:tcW w:w="2619" w:type="dxa"/>
            <w:tcBorders>
              <w:top w:val="single" w:color="000000" w:sz="4" w:space="0"/>
              <w:left w:val="single" w:color="000000" w:sz="4" w:space="0"/>
              <w:bottom w:val="single" w:color="000000" w:sz="4" w:space="0"/>
              <w:right w:val="single" w:color="000000" w:sz="4" w:space="0"/>
            </w:tcBorders>
            <w:vAlign w:val="center"/>
          </w:tcPr>
          <w:p w14:paraId="08EF8D8A">
            <w:pPr>
              <w:widowControl/>
              <w:jc w:val="center"/>
              <w:rPr>
                <w:rFonts w:ascii="宋体" w:hAnsi="宋体" w:cs="宋体"/>
                <w:color w:val="000000"/>
                <w:szCs w:val="21"/>
              </w:rPr>
            </w:pPr>
            <w:r>
              <w:rPr>
                <w:rFonts w:hint="eastAsia" w:ascii="宋体" w:hAnsi="宋体" w:cs="宋体"/>
                <w:color w:val="000000"/>
                <w:kern w:val="0"/>
                <w:szCs w:val="21"/>
                <w:lang w:bidi="ar"/>
              </w:rPr>
              <w:t>紧急启动按钮</w:t>
            </w:r>
          </w:p>
        </w:tc>
        <w:tc>
          <w:tcPr>
            <w:tcW w:w="1033" w:type="dxa"/>
            <w:tcBorders>
              <w:top w:val="single" w:color="000000" w:sz="4" w:space="0"/>
              <w:left w:val="single" w:color="000000" w:sz="4" w:space="0"/>
              <w:bottom w:val="single" w:color="000000" w:sz="4" w:space="0"/>
              <w:right w:val="single" w:color="000000" w:sz="4" w:space="0"/>
            </w:tcBorders>
            <w:vAlign w:val="center"/>
          </w:tcPr>
          <w:p w14:paraId="69158BC5">
            <w:pPr>
              <w:widowControl/>
              <w:jc w:val="center"/>
              <w:rPr>
                <w:rFonts w:ascii="宋体" w:hAnsi="宋体" w:cs="宋体"/>
                <w:color w:val="000000"/>
                <w:szCs w:val="21"/>
              </w:rPr>
            </w:pPr>
            <w:r>
              <w:rPr>
                <w:rFonts w:hint="eastAsia" w:ascii="宋体" w:hAnsi="宋体" w:cs="宋体"/>
                <w:color w:val="000000"/>
                <w:kern w:val="0"/>
                <w:szCs w:val="21"/>
                <w:lang w:bidi="ar"/>
              </w:rPr>
              <w:t>只</w:t>
            </w:r>
          </w:p>
        </w:tc>
        <w:tc>
          <w:tcPr>
            <w:tcW w:w="1105" w:type="dxa"/>
            <w:tcBorders>
              <w:top w:val="single" w:color="000000" w:sz="4" w:space="0"/>
              <w:left w:val="single" w:color="000000" w:sz="4" w:space="0"/>
              <w:bottom w:val="single" w:color="000000" w:sz="4" w:space="0"/>
              <w:right w:val="single" w:color="000000" w:sz="4" w:space="0"/>
            </w:tcBorders>
            <w:vAlign w:val="center"/>
          </w:tcPr>
          <w:p w14:paraId="7A9FFDF2">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6DE3701">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5F11892">
            <w:pPr>
              <w:jc w:val="center"/>
              <w:rPr>
                <w:rFonts w:ascii="宋体" w:hAnsi="宋体" w:eastAsia="宋体" w:cs="宋体"/>
                <w:color w:val="000000"/>
                <w:szCs w:val="21"/>
              </w:rPr>
            </w:pPr>
            <w:r>
              <w:rPr>
                <w:rFonts w:hint="eastAsia" w:ascii="宋体" w:hAnsi="宋体" w:cs="宋体"/>
                <w:color w:val="000000"/>
                <w:szCs w:val="21"/>
              </w:rPr>
              <w:t>100元及以下</w:t>
            </w:r>
          </w:p>
        </w:tc>
      </w:tr>
      <w:tr w14:paraId="5756517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51D51FE">
            <w:pPr>
              <w:widowControl/>
              <w:jc w:val="center"/>
              <w:rPr>
                <w:rFonts w:ascii="宋体" w:hAnsi="宋体" w:cs="宋体"/>
                <w:color w:val="000000"/>
                <w:szCs w:val="21"/>
              </w:rPr>
            </w:pPr>
            <w:r>
              <w:rPr>
                <w:rFonts w:hint="eastAsia" w:ascii="宋体" w:hAnsi="宋体" w:cs="宋体"/>
                <w:color w:val="000000"/>
                <w:kern w:val="0"/>
                <w:szCs w:val="21"/>
                <w:lang w:bidi="ar"/>
              </w:rPr>
              <w:t>46</w:t>
            </w:r>
          </w:p>
        </w:tc>
        <w:tc>
          <w:tcPr>
            <w:tcW w:w="2619" w:type="dxa"/>
            <w:tcBorders>
              <w:top w:val="single" w:color="000000" w:sz="4" w:space="0"/>
              <w:left w:val="single" w:color="000000" w:sz="4" w:space="0"/>
              <w:bottom w:val="single" w:color="000000" w:sz="4" w:space="0"/>
              <w:right w:val="single" w:color="000000" w:sz="4" w:space="0"/>
            </w:tcBorders>
            <w:vAlign w:val="center"/>
          </w:tcPr>
          <w:p w14:paraId="70DF52D7">
            <w:pPr>
              <w:widowControl/>
              <w:jc w:val="center"/>
              <w:rPr>
                <w:rFonts w:ascii="宋体" w:hAnsi="宋体" w:cs="宋体"/>
                <w:color w:val="000000"/>
                <w:szCs w:val="21"/>
              </w:rPr>
            </w:pPr>
            <w:r>
              <w:rPr>
                <w:rFonts w:hint="eastAsia" w:ascii="宋体" w:hAnsi="宋体" w:cs="宋体"/>
                <w:color w:val="000000"/>
                <w:kern w:val="0"/>
                <w:szCs w:val="21"/>
                <w:lang w:bidi="ar"/>
              </w:rPr>
              <w:t>风管软接</w:t>
            </w:r>
          </w:p>
        </w:tc>
        <w:tc>
          <w:tcPr>
            <w:tcW w:w="1033" w:type="dxa"/>
            <w:tcBorders>
              <w:top w:val="single" w:color="000000" w:sz="4" w:space="0"/>
              <w:left w:val="single" w:color="000000" w:sz="4" w:space="0"/>
              <w:bottom w:val="single" w:color="000000" w:sz="4" w:space="0"/>
              <w:right w:val="single" w:color="000000" w:sz="4" w:space="0"/>
            </w:tcBorders>
            <w:vAlign w:val="center"/>
          </w:tcPr>
          <w:p w14:paraId="4279EC94">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5A75C7F3">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3849B7A">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14D8E3B">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5D567DB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5800884">
            <w:pPr>
              <w:widowControl/>
              <w:jc w:val="center"/>
              <w:rPr>
                <w:rFonts w:ascii="宋体" w:hAnsi="宋体" w:cs="宋体"/>
                <w:color w:val="000000"/>
                <w:szCs w:val="21"/>
              </w:rPr>
            </w:pPr>
            <w:r>
              <w:rPr>
                <w:rFonts w:hint="eastAsia" w:ascii="宋体" w:hAnsi="宋体" w:cs="宋体"/>
                <w:color w:val="000000"/>
                <w:kern w:val="0"/>
                <w:szCs w:val="21"/>
                <w:lang w:bidi="ar"/>
              </w:rPr>
              <w:t>47</w:t>
            </w:r>
          </w:p>
        </w:tc>
        <w:tc>
          <w:tcPr>
            <w:tcW w:w="2619" w:type="dxa"/>
            <w:tcBorders>
              <w:top w:val="single" w:color="000000" w:sz="4" w:space="0"/>
              <w:left w:val="single" w:color="000000" w:sz="4" w:space="0"/>
              <w:bottom w:val="single" w:color="000000" w:sz="4" w:space="0"/>
              <w:right w:val="single" w:color="000000" w:sz="4" w:space="0"/>
            </w:tcBorders>
            <w:vAlign w:val="center"/>
          </w:tcPr>
          <w:p w14:paraId="3BD371F7">
            <w:pPr>
              <w:widowControl/>
              <w:jc w:val="center"/>
              <w:rPr>
                <w:rFonts w:ascii="宋体" w:hAnsi="宋体" w:cs="宋体"/>
                <w:color w:val="000000"/>
                <w:szCs w:val="21"/>
              </w:rPr>
            </w:pPr>
            <w:r>
              <w:rPr>
                <w:rFonts w:hint="eastAsia" w:ascii="宋体" w:hAnsi="宋体" w:cs="宋体"/>
                <w:color w:val="000000"/>
                <w:kern w:val="0"/>
                <w:szCs w:val="21"/>
                <w:lang w:bidi="ar"/>
              </w:rPr>
              <w:t>防火阀执行机构</w:t>
            </w:r>
          </w:p>
        </w:tc>
        <w:tc>
          <w:tcPr>
            <w:tcW w:w="1033" w:type="dxa"/>
            <w:tcBorders>
              <w:top w:val="single" w:color="000000" w:sz="4" w:space="0"/>
              <w:left w:val="single" w:color="000000" w:sz="4" w:space="0"/>
              <w:bottom w:val="single" w:color="000000" w:sz="4" w:space="0"/>
              <w:right w:val="single" w:color="000000" w:sz="4" w:space="0"/>
            </w:tcBorders>
            <w:vAlign w:val="center"/>
          </w:tcPr>
          <w:p w14:paraId="39C7EB8B">
            <w:pPr>
              <w:widowControl/>
              <w:jc w:val="center"/>
              <w:rPr>
                <w:rFonts w:ascii="宋体" w:hAnsi="宋体" w:cs="宋体"/>
                <w:color w:val="000000"/>
                <w:szCs w:val="21"/>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45A41308">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27AE416">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F8CF316">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2DE3D1BA">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A20BBF3">
            <w:pPr>
              <w:widowControl/>
              <w:jc w:val="center"/>
              <w:rPr>
                <w:rFonts w:ascii="宋体" w:hAnsi="宋体" w:cs="宋体"/>
                <w:color w:val="000000"/>
                <w:szCs w:val="21"/>
              </w:rPr>
            </w:pPr>
            <w:r>
              <w:rPr>
                <w:rFonts w:hint="eastAsia" w:ascii="宋体" w:hAnsi="宋体" w:cs="宋体"/>
                <w:color w:val="000000"/>
                <w:kern w:val="0"/>
                <w:szCs w:val="21"/>
                <w:lang w:bidi="ar"/>
              </w:rPr>
              <w:t>48</w:t>
            </w:r>
          </w:p>
        </w:tc>
        <w:tc>
          <w:tcPr>
            <w:tcW w:w="2619" w:type="dxa"/>
            <w:tcBorders>
              <w:top w:val="single" w:color="000000" w:sz="4" w:space="0"/>
              <w:left w:val="single" w:color="000000" w:sz="4" w:space="0"/>
              <w:bottom w:val="single" w:color="000000" w:sz="4" w:space="0"/>
              <w:right w:val="single" w:color="000000" w:sz="4" w:space="0"/>
            </w:tcBorders>
            <w:vAlign w:val="center"/>
          </w:tcPr>
          <w:p w14:paraId="34D75283">
            <w:pPr>
              <w:widowControl/>
              <w:jc w:val="center"/>
              <w:rPr>
                <w:rFonts w:ascii="宋体" w:hAnsi="宋体" w:cs="宋体"/>
                <w:color w:val="000000"/>
                <w:szCs w:val="21"/>
              </w:rPr>
            </w:pPr>
            <w:r>
              <w:rPr>
                <w:rFonts w:hint="eastAsia" w:ascii="宋体" w:hAnsi="宋体" w:cs="宋体"/>
                <w:color w:val="000000"/>
                <w:kern w:val="0"/>
                <w:szCs w:val="21"/>
                <w:lang w:bidi="ar"/>
              </w:rPr>
              <w:t>百叶风口</w:t>
            </w:r>
          </w:p>
        </w:tc>
        <w:tc>
          <w:tcPr>
            <w:tcW w:w="1033" w:type="dxa"/>
            <w:tcBorders>
              <w:top w:val="single" w:color="000000" w:sz="4" w:space="0"/>
              <w:left w:val="single" w:color="000000" w:sz="4" w:space="0"/>
              <w:bottom w:val="single" w:color="000000" w:sz="4" w:space="0"/>
              <w:right w:val="single" w:color="000000" w:sz="4" w:space="0"/>
            </w:tcBorders>
            <w:vAlign w:val="center"/>
          </w:tcPr>
          <w:p w14:paraId="43854162">
            <w:pPr>
              <w:widowControl/>
              <w:jc w:val="center"/>
              <w:rPr>
                <w:rFonts w:ascii="宋体" w:hAnsi="宋体" w:cs="宋体"/>
                <w:color w:val="000000"/>
                <w:szCs w:val="21"/>
              </w:rPr>
            </w:pPr>
            <w:r>
              <w:rPr>
                <w:rFonts w:hint="eastAsia" w:ascii="宋体" w:hAnsi="宋体" w:cs="宋体"/>
                <w:color w:val="000000"/>
                <w:kern w:val="0"/>
                <w:szCs w:val="21"/>
                <w:lang w:bidi="ar"/>
              </w:rPr>
              <w:t>㎡</w:t>
            </w:r>
          </w:p>
        </w:tc>
        <w:tc>
          <w:tcPr>
            <w:tcW w:w="1105" w:type="dxa"/>
            <w:tcBorders>
              <w:top w:val="single" w:color="000000" w:sz="4" w:space="0"/>
              <w:left w:val="single" w:color="000000" w:sz="4" w:space="0"/>
              <w:bottom w:val="single" w:color="000000" w:sz="4" w:space="0"/>
              <w:right w:val="single" w:color="000000" w:sz="4" w:space="0"/>
            </w:tcBorders>
            <w:vAlign w:val="center"/>
          </w:tcPr>
          <w:p w14:paraId="6A2A259D">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DF1F02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5969BCC">
            <w:pPr>
              <w:jc w:val="center"/>
              <w:rPr>
                <w:rFonts w:ascii="宋体" w:hAnsi="宋体" w:cs="宋体"/>
                <w:color w:val="000000"/>
                <w:szCs w:val="21"/>
              </w:rPr>
            </w:pPr>
            <w:r>
              <w:rPr>
                <w:rFonts w:hint="eastAsia" w:ascii="宋体" w:hAnsi="宋体" w:cs="宋体"/>
                <w:color w:val="000000"/>
                <w:kern w:val="0"/>
                <w:szCs w:val="21"/>
                <w:lang w:bidi="ar"/>
              </w:rPr>
              <w:t>费用按单价</w:t>
            </w:r>
          </w:p>
        </w:tc>
      </w:tr>
      <w:tr w14:paraId="6681991E">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7F1A6B6">
            <w:pPr>
              <w:widowControl/>
              <w:jc w:val="center"/>
              <w:rPr>
                <w:rFonts w:ascii="宋体" w:hAnsi="宋体" w:cs="宋体"/>
                <w:color w:val="000000"/>
                <w:szCs w:val="21"/>
              </w:rPr>
            </w:pPr>
            <w:r>
              <w:rPr>
                <w:rFonts w:hint="eastAsia" w:ascii="宋体" w:hAnsi="宋体" w:cs="宋体"/>
                <w:color w:val="000000"/>
                <w:kern w:val="0"/>
                <w:szCs w:val="21"/>
                <w:lang w:bidi="ar"/>
              </w:rPr>
              <w:t>49</w:t>
            </w:r>
          </w:p>
        </w:tc>
        <w:tc>
          <w:tcPr>
            <w:tcW w:w="2619" w:type="dxa"/>
            <w:tcBorders>
              <w:top w:val="single" w:color="000000" w:sz="4" w:space="0"/>
              <w:left w:val="single" w:color="000000" w:sz="4" w:space="0"/>
              <w:bottom w:val="single" w:color="000000" w:sz="4" w:space="0"/>
              <w:right w:val="single" w:color="000000" w:sz="4" w:space="0"/>
            </w:tcBorders>
            <w:vAlign w:val="center"/>
          </w:tcPr>
          <w:p w14:paraId="2C955B4D">
            <w:pPr>
              <w:widowControl/>
              <w:jc w:val="center"/>
              <w:rPr>
                <w:rFonts w:ascii="宋体" w:hAnsi="宋体" w:cs="宋体"/>
                <w:color w:val="000000"/>
                <w:szCs w:val="21"/>
              </w:rPr>
            </w:pPr>
            <w:r>
              <w:rPr>
                <w:rFonts w:hint="eastAsia" w:ascii="宋体" w:hAnsi="宋体" w:cs="宋体"/>
                <w:color w:val="000000"/>
                <w:kern w:val="0"/>
                <w:szCs w:val="21"/>
                <w:lang w:bidi="ar"/>
              </w:rPr>
              <w:t>无机防火堵料</w:t>
            </w:r>
          </w:p>
        </w:tc>
        <w:tc>
          <w:tcPr>
            <w:tcW w:w="1033" w:type="dxa"/>
            <w:tcBorders>
              <w:top w:val="single" w:color="000000" w:sz="4" w:space="0"/>
              <w:left w:val="single" w:color="000000" w:sz="4" w:space="0"/>
              <w:bottom w:val="single" w:color="000000" w:sz="4" w:space="0"/>
              <w:right w:val="single" w:color="000000" w:sz="4" w:space="0"/>
            </w:tcBorders>
            <w:vAlign w:val="center"/>
          </w:tcPr>
          <w:p w14:paraId="78DC61E0">
            <w:pPr>
              <w:widowControl/>
              <w:jc w:val="center"/>
              <w:rPr>
                <w:rFonts w:ascii="宋体" w:hAnsi="宋体" w:cs="宋体"/>
                <w:color w:val="000000"/>
                <w:szCs w:val="21"/>
              </w:rPr>
            </w:pPr>
            <w:r>
              <w:rPr>
                <w:rFonts w:hint="eastAsia" w:ascii="宋体" w:hAnsi="宋体" w:cs="宋体"/>
                <w:color w:val="000000"/>
                <w:kern w:val="0"/>
                <w:szCs w:val="21"/>
                <w:lang w:bidi="ar"/>
              </w:rPr>
              <w:t>袋</w:t>
            </w:r>
          </w:p>
        </w:tc>
        <w:tc>
          <w:tcPr>
            <w:tcW w:w="1105" w:type="dxa"/>
            <w:tcBorders>
              <w:top w:val="single" w:color="000000" w:sz="4" w:space="0"/>
              <w:left w:val="single" w:color="000000" w:sz="4" w:space="0"/>
              <w:bottom w:val="single" w:color="000000" w:sz="4" w:space="0"/>
              <w:right w:val="single" w:color="000000" w:sz="4" w:space="0"/>
            </w:tcBorders>
            <w:vAlign w:val="center"/>
          </w:tcPr>
          <w:p w14:paraId="39A3C476">
            <w:pPr>
              <w:widowControl/>
              <w:jc w:val="center"/>
              <w:rPr>
                <w:rFonts w:ascii="宋体" w:hAnsi="宋体" w:cs="宋体"/>
                <w:color w:val="000000"/>
                <w:szCs w:val="21"/>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5AB4C6E5">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43F2BD6">
            <w:pPr>
              <w:jc w:val="center"/>
              <w:rPr>
                <w:rFonts w:ascii="宋体" w:hAnsi="宋体" w:eastAsia="宋体" w:cs="宋体"/>
                <w:color w:val="000000"/>
                <w:szCs w:val="21"/>
              </w:rPr>
            </w:pPr>
            <w:r>
              <w:rPr>
                <w:rFonts w:hint="eastAsia" w:ascii="宋体" w:hAnsi="宋体" w:cs="宋体"/>
                <w:color w:val="000000"/>
                <w:szCs w:val="21"/>
              </w:rPr>
              <w:t>100元及以下</w:t>
            </w:r>
          </w:p>
        </w:tc>
      </w:tr>
      <w:tr w14:paraId="45B591B6">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4DBEEB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50</w:t>
            </w:r>
          </w:p>
        </w:tc>
        <w:tc>
          <w:tcPr>
            <w:tcW w:w="2619" w:type="dxa"/>
            <w:tcBorders>
              <w:top w:val="single" w:color="000000" w:sz="4" w:space="0"/>
              <w:left w:val="single" w:color="000000" w:sz="4" w:space="0"/>
              <w:bottom w:val="single" w:color="000000" w:sz="4" w:space="0"/>
              <w:right w:val="single" w:color="000000" w:sz="4" w:space="0"/>
            </w:tcBorders>
            <w:vAlign w:val="center"/>
          </w:tcPr>
          <w:p w14:paraId="54619BA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灭火器更换</w:t>
            </w:r>
          </w:p>
        </w:tc>
        <w:tc>
          <w:tcPr>
            <w:tcW w:w="1033" w:type="dxa"/>
            <w:tcBorders>
              <w:top w:val="single" w:color="000000" w:sz="4" w:space="0"/>
              <w:left w:val="single" w:color="000000" w:sz="4" w:space="0"/>
              <w:bottom w:val="single" w:color="000000" w:sz="4" w:space="0"/>
              <w:right w:val="single" w:color="000000" w:sz="4" w:space="0"/>
            </w:tcBorders>
            <w:vAlign w:val="center"/>
          </w:tcPr>
          <w:p w14:paraId="3F9D1FD9">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09DB9AE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8D360CC">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70353EC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026DF41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1A3C90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51</w:t>
            </w:r>
          </w:p>
        </w:tc>
        <w:tc>
          <w:tcPr>
            <w:tcW w:w="2619" w:type="dxa"/>
            <w:tcBorders>
              <w:top w:val="single" w:color="000000" w:sz="4" w:space="0"/>
              <w:left w:val="single" w:color="000000" w:sz="4" w:space="0"/>
              <w:bottom w:val="single" w:color="000000" w:sz="4" w:space="0"/>
              <w:right w:val="single" w:color="000000" w:sz="4" w:space="0"/>
            </w:tcBorders>
            <w:vAlign w:val="center"/>
          </w:tcPr>
          <w:p w14:paraId="63652B6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灭火器更换</w:t>
            </w:r>
          </w:p>
        </w:tc>
        <w:tc>
          <w:tcPr>
            <w:tcW w:w="1033" w:type="dxa"/>
            <w:tcBorders>
              <w:top w:val="single" w:color="000000" w:sz="4" w:space="0"/>
              <w:left w:val="single" w:color="000000" w:sz="4" w:space="0"/>
              <w:bottom w:val="single" w:color="000000" w:sz="4" w:space="0"/>
              <w:right w:val="single" w:color="000000" w:sz="4" w:space="0"/>
            </w:tcBorders>
            <w:vAlign w:val="center"/>
          </w:tcPr>
          <w:p w14:paraId="3B3ED7E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74EE59D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76F97687">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5B4508C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4962FED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39C24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52</w:t>
            </w:r>
          </w:p>
        </w:tc>
        <w:tc>
          <w:tcPr>
            <w:tcW w:w="2619" w:type="dxa"/>
            <w:tcBorders>
              <w:top w:val="single" w:color="000000" w:sz="4" w:space="0"/>
              <w:left w:val="single" w:color="000000" w:sz="4" w:space="0"/>
              <w:bottom w:val="single" w:color="000000" w:sz="4" w:space="0"/>
              <w:right w:val="single" w:color="000000" w:sz="4" w:space="0"/>
            </w:tcBorders>
            <w:vAlign w:val="center"/>
          </w:tcPr>
          <w:p w14:paraId="75DE6F1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灭火器充装</w:t>
            </w:r>
          </w:p>
        </w:tc>
        <w:tc>
          <w:tcPr>
            <w:tcW w:w="1033" w:type="dxa"/>
            <w:tcBorders>
              <w:top w:val="single" w:color="000000" w:sz="4" w:space="0"/>
              <w:left w:val="single" w:color="000000" w:sz="4" w:space="0"/>
              <w:bottom w:val="single" w:color="000000" w:sz="4" w:space="0"/>
              <w:right w:val="single" w:color="000000" w:sz="4" w:space="0"/>
            </w:tcBorders>
            <w:vAlign w:val="center"/>
          </w:tcPr>
          <w:p w14:paraId="7159962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14E268A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4CD5ACB4">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C4F4DA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7E4A5E25">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5D6A17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53</w:t>
            </w:r>
          </w:p>
        </w:tc>
        <w:tc>
          <w:tcPr>
            <w:tcW w:w="2619" w:type="dxa"/>
            <w:tcBorders>
              <w:top w:val="single" w:color="000000" w:sz="4" w:space="0"/>
              <w:left w:val="single" w:color="000000" w:sz="4" w:space="0"/>
              <w:bottom w:val="single" w:color="000000" w:sz="4" w:space="0"/>
              <w:right w:val="single" w:color="000000" w:sz="4" w:space="0"/>
            </w:tcBorders>
            <w:vAlign w:val="center"/>
          </w:tcPr>
          <w:p w14:paraId="45FE4B7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七氟丙烷</w:t>
            </w:r>
          </w:p>
        </w:tc>
        <w:tc>
          <w:tcPr>
            <w:tcW w:w="1033" w:type="dxa"/>
            <w:tcBorders>
              <w:top w:val="single" w:color="000000" w:sz="4" w:space="0"/>
              <w:left w:val="single" w:color="000000" w:sz="4" w:space="0"/>
              <w:bottom w:val="single" w:color="000000" w:sz="4" w:space="0"/>
              <w:right w:val="single" w:color="000000" w:sz="4" w:space="0"/>
            </w:tcBorders>
            <w:vAlign w:val="center"/>
          </w:tcPr>
          <w:p w14:paraId="47A3103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公斤</w:t>
            </w:r>
          </w:p>
        </w:tc>
        <w:tc>
          <w:tcPr>
            <w:tcW w:w="1105" w:type="dxa"/>
            <w:tcBorders>
              <w:top w:val="single" w:color="000000" w:sz="4" w:space="0"/>
              <w:left w:val="single" w:color="000000" w:sz="4" w:space="0"/>
              <w:bottom w:val="single" w:color="000000" w:sz="4" w:space="0"/>
              <w:right w:val="single" w:color="000000" w:sz="4" w:space="0"/>
            </w:tcBorders>
            <w:vAlign w:val="center"/>
          </w:tcPr>
          <w:p w14:paraId="55B1057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32B5BA9">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3168031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6DB4D07B">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60AA06A">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54</w:t>
            </w:r>
          </w:p>
        </w:tc>
        <w:tc>
          <w:tcPr>
            <w:tcW w:w="2619" w:type="dxa"/>
            <w:tcBorders>
              <w:top w:val="single" w:color="000000" w:sz="4" w:space="0"/>
              <w:left w:val="single" w:color="000000" w:sz="4" w:space="0"/>
              <w:bottom w:val="single" w:color="000000" w:sz="4" w:space="0"/>
              <w:right w:val="single" w:color="000000" w:sz="4" w:space="0"/>
            </w:tcBorders>
            <w:vAlign w:val="center"/>
          </w:tcPr>
          <w:p w14:paraId="60B8B66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消防斧</w:t>
            </w:r>
          </w:p>
        </w:tc>
        <w:tc>
          <w:tcPr>
            <w:tcW w:w="1033" w:type="dxa"/>
            <w:tcBorders>
              <w:top w:val="single" w:color="000000" w:sz="4" w:space="0"/>
              <w:left w:val="single" w:color="000000" w:sz="4" w:space="0"/>
              <w:bottom w:val="single" w:color="000000" w:sz="4" w:space="0"/>
              <w:right w:val="single" w:color="000000" w:sz="4" w:space="0"/>
            </w:tcBorders>
            <w:vAlign w:val="center"/>
          </w:tcPr>
          <w:p w14:paraId="293B957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把</w:t>
            </w:r>
          </w:p>
        </w:tc>
        <w:tc>
          <w:tcPr>
            <w:tcW w:w="1105" w:type="dxa"/>
            <w:tcBorders>
              <w:top w:val="single" w:color="000000" w:sz="4" w:space="0"/>
              <w:left w:val="single" w:color="000000" w:sz="4" w:space="0"/>
              <w:bottom w:val="single" w:color="000000" w:sz="4" w:space="0"/>
              <w:right w:val="single" w:color="000000" w:sz="4" w:space="0"/>
            </w:tcBorders>
            <w:vAlign w:val="center"/>
          </w:tcPr>
          <w:p w14:paraId="6DE0F71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6A738ABD">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6D9E51C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307605A7">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CAEE2B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55</w:t>
            </w:r>
          </w:p>
        </w:tc>
        <w:tc>
          <w:tcPr>
            <w:tcW w:w="2619" w:type="dxa"/>
            <w:tcBorders>
              <w:top w:val="single" w:color="000000" w:sz="4" w:space="0"/>
              <w:left w:val="single" w:color="000000" w:sz="4" w:space="0"/>
              <w:bottom w:val="single" w:color="000000" w:sz="4" w:space="0"/>
              <w:right w:val="single" w:color="000000" w:sz="4" w:space="0"/>
            </w:tcBorders>
            <w:vAlign w:val="center"/>
          </w:tcPr>
          <w:p w14:paraId="6C3C4CD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消防扳手</w:t>
            </w:r>
          </w:p>
        </w:tc>
        <w:tc>
          <w:tcPr>
            <w:tcW w:w="1033" w:type="dxa"/>
            <w:tcBorders>
              <w:top w:val="single" w:color="000000" w:sz="4" w:space="0"/>
              <w:left w:val="single" w:color="000000" w:sz="4" w:space="0"/>
              <w:bottom w:val="single" w:color="000000" w:sz="4" w:space="0"/>
              <w:right w:val="single" w:color="000000" w:sz="4" w:space="0"/>
            </w:tcBorders>
            <w:vAlign w:val="center"/>
          </w:tcPr>
          <w:p w14:paraId="605C9D1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把</w:t>
            </w:r>
          </w:p>
        </w:tc>
        <w:tc>
          <w:tcPr>
            <w:tcW w:w="1105" w:type="dxa"/>
            <w:tcBorders>
              <w:top w:val="single" w:color="000000" w:sz="4" w:space="0"/>
              <w:left w:val="single" w:color="000000" w:sz="4" w:space="0"/>
              <w:bottom w:val="single" w:color="000000" w:sz="4" w:space="0"/>
              <w:right w:val="single" w:color="000000" w:sz="4" w:space="0"/>
            </w:tcBorders>
            <w:vAlign w:val="center"/>
          </w:tcPr>
          <w:p w14:paraId="5C032BD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00B5783A">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4CD2077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151DA8E3">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AC3A24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56</w:t>
            </w:r>
          </w:p>
        </w:tc>
        <w:tc>
          <w:tcPr>
            <w:tcW w:w="2619" w:type="dxa"/>
            <w:tcBorders>
              <w:top w:val="single" w:color="000000" w:sz="4" w:space="0"/>
              <w:left w:val="single" w:color="000000" w:sz="4" w:space="0"/>
              <w:bottom w:val="single" w:color="000000" w:sz="4" w:space="0"/>
              <w:right w:val="single" w:color="000000" w:sz="4" w:space="0"/>
            </w:tcBorders>
            <w:vAlign w:val="center"/>
          </w:tcPr>
          <w:p w14:paraId="7E36142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消防箱门</w:t>
            </w:r>
          </w:p>
        </w:tc>
        <w:tc>
          <w:tcPr>
            <w:tcW w:w="1033" w:type="dxa"/>
            <w:tcBorders>
              <w:top w:val="single" w:color="000000" w:sz="4" w:space="0"/>
              <w:left w:val="single" w:color="000000" w:sz="4" w:space="0"/>
              <w:bottom w:val="single" w:color="000000" w:sz="4" w:space="0"/>
              <w:right w:val="single" w:color="000000" w:sz="4" w:space="0"/>
            </w:tcBorders>
            <w:vAlign w:val="center"/>
          </w:tcPr>
          <w:p w14:paraId="7BAFEE2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1105" w:type="dxa"/>
            <w:tcBorders>
              <w:top w:val="single" w:color="000000" w:sz="4" w:space="0"/>
              <w:left w:val="single" w:color="000000" w:sz="4" w:space="0"/>
              <w:bottom w:val="single" w:color="000000" w:sz="4" w:space="0"/>
              <w:right w:val="single" w:color="000000" w:sz="4" w:space="0"/>
            </w:tcBorders>
            <w:vAlign w:val="center"/>
          </w:tcPr>
          <w:p w14:paraId="274FAA2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vAlign w:val="center"/>
          </w:tcPr>
          <w:p w14:paraId="363E7FBE">
            <w:pPr>
              <w:widowControl/>
              <w:jc w:val="center"/>
              <w:rPr>
                <w:rFonts w:ascii="宋体" w:hAnsi="宋体" w:cs="宋体"/>
                <w:color w:val="000000"/>
                <w:szCs w:val="21"/>
              </w:rPr>
            </w:pPr>
          </w:p>
        </w:tc>
        <w:tc>
          <w:tcPr>
            <w:tcW w:w="1596" w:type="dxa"/>
            <w:tcBorders>
              <w:top w:val="single" w:color="000000" w:sz="4" w:space="0"/>
              <w:left w:val="single" w:color="000000" w:sz="4" w:space="0"/>
              <w:bottom w:val="single" w:color="000000" w:sz="4" w:space="0"/>
              <w:right w:val="single" w:color="000000" w:sz="4" w:space="0"/>
            </w:tcBorders>
            <w:vAlign w:val="center"/>
          </w:tcPr>
          <w:p w14:paraId="16B7680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费用按单价</w:t>
            </w:r>
          </w:p>
        </w:tc>
      </w:tr>
      <w:tr w14:paraId="071204EA">
        <w:tblPrEx>
          <w:tblCellMar>
            <w:top w:w="0" w:type="dxa"/>
            <w:left w:w="108" w:type="dxa"/>
            <w:bottom w:w="0" w:type="dxa"/>
            <w:right w:w="108" w:type="dxa"/>
          </w:tblCellMar>
        </w:tblPrEx>
        <w:trPr>
          <w:trHeight w:val="520" w:hRule="atLeast"/>
        </w:trPr>
        <w:tc>
          <w:tcPr>
            <w:tcW w:w="8162" w:type="dxa"/>
            <w:gridSpan w:val="6"/>
            <w:tcBorders>
              <w:top w:val="single" w:color="000000" w:sz="4" w:space="0"/>
              <w:left w:val="single" w:color="000000" w:sz="4" w:space="0"/>
              <w:bottom w:val="single" w:color="000000" w:sz="4" w:space="0"/>
              <w:right w:val="single" w:color="000000" w:sz="4" w:space="0"/>
            </w:tcBorders>
            <w:vAlign w:val="center"/>
          </w:tcPr>
          <w:p w14:paraId="2DE4BA9F">
            <w:pPr>
              <w:widowControl/>
              <w:jc w:val="center"/>
              <w:rPr>
                <w:rFonts w:ascii="宋体" w:hAnsi="宋体" w:cs="宋体"/>
                <w:color w:val="000000"/>
                <w:szCs w:val="21"/>
              </w:rPr>
            </w:pPr>
            <w:r>
              <w:rPr>
                <w:rFonts w:hint="eastAsia" w:ascii="宋体" w:hAnsi="宋体" w:cs="宋体"/>
                <w:color w:val="000000"/>
                <w:szCs w:val="21"/>
              </w:rPr>
              <w:tab/>
            </w:r>
          </w:p>
          <w:p w14:paraId="3AD83B68">
            <w:pPr>
              <w:widowControl/>
              <w:jc w:val="left"/>
              <w:rPr>
                <w:rFonts w:ascii="宋体" w:hAnsi="宋体" w:cs="宋体"/>
                <w:color w:val="000000"/>
                <w:kern w:val="0"/>
                <w:szCs w:val="21"/>
              </w:rPr>
            </w:pPr>
            <w:r>
              <w:rPr>
                <w:rFonts w:hint="eastAsia" w:ascii="宋体" w:hAnsi="宋体" w:cs="宋体"/>
                <w:color w:val="000000"/>
                <w:szCs w:val="21"/>
              </w:rPr>
              <w:t>备注：投标人报价时需考虑</w:t>
            </w:r>
            <w:r>
              <w:rPr>
                <w:rFonts w:hint="eastAsia" w:ascii="宋体" w:hAnsi="宋体" w:cs="宋体"/>
                <w:color w:val="000000"/>
                <w:kern w:val="0"/>
                <w:szCs w:val="21"/>
              </w:rPr>
              <w:t>蚌埠依爱、北大青鸟、秦皇岛海湾及北京利达等国产产品的综合报价，前述品牌仅作为参考，并无限制，投标人可提供相当于或优于前述品牌的产品。　</w:t>
            </w:r>
          </w:p>
          <w:p w14:paraId="146BCFDD">
            <w:pPr>
              <w:tabs>
                <w:tab w:val="left" w:pos="2496"/>
              </w:tabs>
              <w:jc w:val="left"/>
              <w:rPr>
                <w:rFonts w:ascii="宋体" w:hAnsi="宋体" w:cs="宋体"/>
                <w:color w:val="000000"/>
                <w:szCs w:val="21"/>
              </w:rPr>
            </w:pPr>
          </w:p>
        </w:tc>
      </w:tr>
    </w:tbl>
    <w:p w14:paraId="59533E40">
      <w:pPr>
        <w:jc w:val="center"/>
        <w:rPr>
          <w:rFonts w:ascii="宋体" w:hAnsi="宋体" w:eastAsia="宋体" w:cs="宋体"/>
          <w:b/>
          <w:bCs/>
          <w:sz w:val="36"/>
          <w:szCs w:val="36"/>
        </w:rPr>
      </w:pPr>
    </w:p>
    <w:p w14:paraId="698814C2">
      <w:pPr>
        <w:jc w:val="center"/>
        <w:rPr>
          <w:rFonts w:ascii="宋体" w:hAnsi="宋体" w:eastAsia="宋体" w:cs="宋体"/>
          <w:b/>
          <w:bCs/>
          <w:sz w:val="36"/>
          <w:szCs w:val="36"/>
        </w:rPr>
      </w:pPr>
    </w:p>
    <w:p w14:paraId="24914BD1">
      <w:pPr>
        <w:jc w:val="center"/>
        <w:rPr>
          <w:rFonts w:ascii="宋体" w:hAnsi="宋体" w:eastAsia="宋体" w:cs="宋体"/>
          <w:b/>
          <w:bCs/>
          <w:sz w:val="36"/>
          <w:szCs w:val="36"/>
        </w:rPr>
      </w:pPr>
    </w:p>
    <w:p w14:paraId="751655A2">
      <w:pPr>
        <w:snapToGrid w:val="0"/>
        <w:spacing w:line="360" w:lineRule="auto"/>
        <w:ind w:left="5550"/>
        <w:jc w:val="center"/>
        <w:rPr>
          <w:rFonts w:ascii="仿宋" w:hAnsi="仿宋" w:eastAsia="仿宋" w:cs="仿宋"/>
          <w:b/>
          <w:bCs/>
          <w:sz w:val="24"/>
        </w:rPr>
      </w:pPr>
    </w:p>
    <w:p w14:paraId="74E01758">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53EC6F99">
      <w:pPr>
        <w:spacing w:line="320" w:lineRule="exact"/>
        <w:ind w:firstLine="240" w:firstLineChars="100"/>
        <w:rPr>
          <w:rFonts w:ascii="宋体" w:hAnsi="宋体"/>
          <w:sz w:val="24"/>
        </w:rPr>
      </w:pPr>
    </w:p>
    <w:p w14:paraId="30821853">
      <w:pPr>
        <w:rPr>
          <w:rFonts w:ascii="仿宋_GB2312" w:eastAsia="仿宋_GB2312"/>
          <w:sz w:val="32"/>
          <w:szCs w:val="32"/>
        </w:rPr>
      </w:pPr>
    </w:p>
    <w:p w14:paraId="09EBF688">
      <w:pPr>
        <w:rPr>
          <w:rFonts w:ascii="仿宋_GB2312" w:eastAsia="仿宋_GB2312"/>
          <w:sz w:val="32"/>
          <w:szCs w:val="32"/>
        </w:rPr>
      </w:pPr>
    </w:p>
    <w:p w14:paraId="3C5D72BC">
      <w:pPr>
        <w:pStyle w:val="9"/>
        <w:widowControl/>
        <w:spacing w:beforeAutospacing="0" w:after="150" w:afterAutospacing="0"/>
        <w:jc w:val="both"/>
        <w:rPr>
          <w:rFonts w:ascii="仿宋_GB2312" w:hAnsi="仿宋_GB2312" w:eastAsia="仿宋_GB2312" w:cs="仿宋_GB2312"/>
          <w:sz w:val="32"/>
          <w:szCs w:val="32"/>
          <w:lang w:bidi="ar"/>
        </w:rPr>
      </w:pPr>
    </w:p>
    <w:p w14:paraId="68075A08">
      <w:pPr>
        <w:pStyle w:val="9"/>
        <w:widowControl/>
        <w:spacing w:beforeAutospacing="0" w:after="150" w:afterAutospacing="0"/>
        <w:jc w:val="both"/>
        <w:rPr>
          <w:rFonts w:ascii="仿宋_GB2312" w:hAnsi="仿宋_GB2312" w:eastAsia="仿宋_GB2312" w:cs="仿宋_GB2312"/>
          <w:sz w:val="32"/>
          <w:szCs w:val="32"/>
          <w:lang w:bidi="ar"/>
        </w:rPr>
      </w:pPr>
    </w:p>
    <w:p w14:paraId="7D15C689">
      <w:pPr>
        <w:pStyle w:val="9"/>
        <w:widowControl/>
        <w:spacing w:beforeAutospacing="0" w:after="150" w:afterAutospacing="0"/>
        <w:jc w:val="both"/>
        <w:rPr>
          <w:rFonts w:ascii="仿宋_GB2312" w:hAnsi="仿宋_GB2312" w:eastAsia="仿宋_GB2312" w:cs="仿宋_GB2312"/>
          <w:sz w:val="32"/>
          <w:szCs w:val="32"/>
          <w:lang w:bidi="ar"/>
        </w:rPr>
      </w:pPr>
    </w:p>
    <w:p w14:paraId="476E699C">
      <w:pPr>
        <w:pStyle w:val="9"/>
        <w:widowControl/>
        <w:spacing w:beforeAutospacing="0" w:after="150" w:afterAutospacing="0"/>
        <w:jc w:val="both"/>
        <w:rPr>
          <w:rFonts w:ascii="仿宋_GB2312" w:hAnsi="仿宋_GB2312" w:eastAsia="仿宋_GB2312" w:cs="仿宋_GB2312"/>
          <w:sz w:val="32"/>
          <w:szCs w:val="32"/>
          <w:lang w:bidi="ar"/>
        </w:rPr>
      </w:pPr>
    </w:p>
    <w:p w14:paraId="71D6589D">
      <w:pPr>
        <w:pStyle w:val="9"/>
        <w:widowControl/>
        <w:spacing w:beforeAutospacing="0" w:after="150" w:afterAutospacing="0"/>
        <w:jc w:val="both"/>
        <w:rPr>
          <w:rFonts w:ascii="仿宋_GB2312" w:hAnsi="仿宋_GB2312" w:eastAsia="仿宋_GB2312" w:cs="仿宋_GB2312"/>
          <w:sz w:val="32"/>
          <w:szCs w:val="32"/>
          <w:lang w:bidi="ar"/>
        </w:rPr>
      </w:pPr>
    </w:p>
    <w:p w14:paraId="47128229">
      <w:pPr>
        <w:pStyle w:val="9"/>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2C1833F1">
      <w:pPr>
        <w:pStyle w:val="9"/>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2CC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atLeast"/>
          <w:jc w:val="center"/>
        </w:trPr>
        <w:tc>
          <w:tcPr>
            <w:tcW w:w="815" w:type="dxa"/>
            <w:tcBorders>
              <w:bottom w:val="single" w:color="auto" w:sz="4" w:space="0"/>
            </w:tcBorders>
            <w:vAlign w:val="center"/>
          </w:tcPr>
          <w:p w14:paraId="378D5E3F">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45656B7B">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5ED92A4B">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4C386C91">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583" w:type="dxa"/>
            <w:tcBorders>
              <w:bottom w:val="single" w:color="auto" w:sz="4" w:space="0"/>
            </w:tcBorders>
            <w:vAlign w:val="center"/>
          </w:tcPr>
          <w:p w14:paraId="2BA9D10A">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2634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15" w:type="dxa"/>
            <w:tcBorders>
              <w:bottom w:val="single" w:color="auto" w:sz="4" w:space="0"/>
            </w:tcBorders>
            <w:vAlign w:val="center"/>
          </w:tcPr>
          <w:p w14:paraId="27839DC0">
            <w:pPr>
              <w:adjustRightInd w:val="0"/>
              <w:snapToGrid w:val="0"/>
              <w:spacing w:line="400" w:lineRule="exact"/>
              <w:ind w:right="-10"/>
              <w:jc w:val="center"/>
              <w:rPr>
                <w:rFonts w:ascii="仿宋" w:hAnsi="仿宋" w:eastAsia="仿宋" w:cs="仿宋"/>
                <w:b/>
                <w:bCs/>
                <w:color w:val="000000"/>
                <w:sz w:val="24"/>
              </w:rPr>
            </w:pPr>
            <w:r>
              <w:rPr>
                <w:rFonts w:hint="eastAsia" w:ascii="仿宋" w:hAnsi="仿宋" w:eastAsia="仿宋" w:cs="仿宋"/>
                <w:b/>
                <w:bCs/>
                <w:color w:val="000000"/>
                <w:sz w:val="24"/>
              </w:rPr>
              <w:t>1</w:t>
            </w:r>
          </w:p>
        </w:tc>
        <w:tc>
          <w:tcPr>
            <w:tcW w:w="1901" w:type="dxa"/>
            <w:tcBorders>
              <w:bottom w:val="single" w:color="auto" w:sz="4" w:space="0"/>
            </w:tcBorders>
            <w:vAlign w:val="center"/>
          </w:tcPr>
          <w:p w14:paraId="7F479F98">
            <w:pPr>
              <w:adjustRightInd w:val="0"/>
              <w:snapToGrid w:val="0"/>
              <w:spacing w:line="400" w:lineRule="exact"/>
              <w:ind w:right="-10"/>
              <w:jc w:val="center"/>
              <w:rPr>
                <w:rFonts w:ascii="仿宋" w:hAnsi="仿宋" w:eastAsia="仿宋" w:cs="仿宋"/>
                <w:b/>
                <w:bCs/>
                <w:color w:val="000000"/>
                <w:sz w:val="24"/>
              </w:rPr>
            </w:pPr>
            <w:r>
              <w:rPr>
                <w:rFonts w:hint="eastAsia" w:ascii="仿宋" w:hAnsi="仿宋" w:eastAsia="仿宋" w:cs="仿宋"/>
                <w:color w:val="000000"/>
                <w:sz w:val="24"/>
              </w:rPr>
              <w:t>营业执照</w:t>
            </w:r>
          </w:p>
        </w:tc>
        <w:tc>
          <w:tcPr>
            <w:tcW w:w="2159" w:type="dxa"/>
            <w:tcBorders>
              <w:bottom w:val="single" w:color="auto" w:sz="4" w:space="0"/>
            </w:tcBorders>
            <w:vAlign w:val="center"/>
          </w:tcPr>
          <w:p w14:paraId="79C28A0B">
            <w:pPr>
              <w:adjustRightInd w:val="0"/>
              <w:snapToGrid w:val="0"/>
              <w:spacing w:line="400" w:lineRule="exact"/>
              <w:ind w:right="-10"/>
              <w:jc w:val="center"/>
              <w:rPr>
                <w:rFonts w:ascii="仿宋" w:hAnsi="仿宋" w:eastAsia="仿宋" w:cs="仿宋"/>
                <w:b/>
                <w:bCs/>
                <w:color w:val="000000"/>
                <w:sz w:val="24"/>
              </w:rPr>
            </w:pPr>
            <w:r>
              <w:rPr>
                <w:rFonts w:hint="eastAsia" w:ascii="仿宋" w:hAnsi="仿宋" w:eastAsia="仿宋" w:cs="仿宋"/>
                <w:color w:val="000000"/>
                <w:sz w:val="24"/>
              </w:rPr>
              <w:t>在有效期及营业范围内</w:t>
            </w:r>
          </w:p>
        </w:tc>
        <w:tc>
          <w:tcPr>
            <w:tcW w:w="1099" w:type="dxa"/>
            <w:tcBorders>
              <w:bottom w:val="single" w:color="auto" w:sz="4" w:space="0"/>
            </w:tcBorders>
            <w:vAlign w:val="center"/>
          </w:tcPr>
          <w:p w14:paraId="3736C3B4">
            <w:pPr>
              <w:adjustRightInd w:val="0"/>
              <w:snapToGrid w:val="0"/>
              <w:spacing w:line="400" w:lineRule="exact"/>
              <w:ind w:right="-10"/>
              <w:jc w:val="center"/>
              <w:rPr>
                <w:rFonts w:ascii="仿宋" w:hAnsi="仿宋" w:eastAsia="仿宋" w:cs="仿宋"/>
                <w:b/>
                <w:bCs/>
                <w:color w:val="000000"/>
                <w:sz w:val="24"/>
              </w:rPr>
            </w:pPr>
          </w:p>
        </w:tc>
        <w:tc>
          <w:tcPr>
            <w:tcW w:w="3583" w:type="dxa"/>
            <w:tcBorders>
              <w:bottom w:val="single" w:color="auto" w:sz="4" w:space="0"/>
            </w:tcBorders>
            <w:vAlign w:val="center"/>
          </w:tcPr>
          <w:p w14:paraId="4AFEA609">
            <w:pPr>
              <w:adjustRightInd w:val="0"/>
              <w:snapToGrid w:val="0"/>
              <w:spacing w:line="400" w:lineRule="exact"/>
              <w:ind w:right="-10"/>
              <w:jc w:val="center"/>
              <w:rPr>
                <w:rFonts w:ascii="仿宋" w:hAnsi="仿宋" w:eastAsia="仿宋" w:cs="仿宋"/>
                <w:b/>
                <w:bCs/>
                <w:color w:val="000000"/>
                <w:sz w:val="24"/>
              </w:rPr>
            </w:pPr>
            <w:r>
              <w:rPr>
                <w:rFonts w:hint="eastAsia" w:ascii="仿宋" w:hAnsi="仿宋" w:eastAsia="仿宋" w:cs="仿宋"/>
                <w:color w:val="000000"/>
                <w:sz w:val="24"/>
              </w:rPr>
              <w:t>提供营业执照扫描件</w:t>
            </w:r>
          </w:p>
        </w:tc>
      </w:tr>
      <w:tr w14:paraId="3C6E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15" w:type="dxa"/>
            <w:tcBorders>
              <w:bottom w:val="single" w:color="auto" w:sz="4" w:space="0"/>
            </w:tcBorders>
            <w:vAlign w:val="center"/>
          </w:tcPr>
          <w:p w14:paraId="45139A52">
            <w:pPr>
              <w:adjustRightInd w:val="0"/>
              <w:snapToGrid w:val="0"/>
              <w:spacing w:line="400" w:lineRule="exact"/>
              <w:ind w:right="-10"/>
              <w:jc w:val="center"/>
              <w:rPr>
                <w:rFonts w:ascii="仿宋" w:hAnsi="仿宋" w:eastAsia="仿宋" w:cs="仿宋"/>
                <w:b/>
                <w:bCs/>
                <w:color w:val="000000"/>
                <w:sz w:val="24"/>
              </w:rPr>
            </w:pPr>
            <w:r>
              <w:rPr>
                <w:rFonts w:hint="eastAsia" w:ascii="仿宋" w:hAnsi="仿宋" w:eastAsia="仿宋" w:cs="仿宋"/>
                <w:b/>
                <w:bCs/>
                <w:color w:val="000000"/>
                <w:sz w:val="24"/>
              </w:rPr>
              <w:t>2</w:t>
            </w:r>
          </w:p>
        </w:tc>
        <w:tc>
          <w:tcPr>
            <w:tcW w:w="1901" w:type="dxa"/>
            <w:tcBorders>
              <w:bottom w:val="single" w:color="auto" w:sz="4" w:space="0"/>
            </w:tcBorders>
            <w:vAlign w:val="center"/>
          </w:tcPr>
          <w:p w14:paraId="1C141B66">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业绩</w:t>
            </w:r>
          </w:p>
        </w:tc>
        <w:tc>
          <w:tcPr>
            <w:tcW w:w="2159" w:type="dxa"/>
            <w:tcBorders>
              <w:bottom w:val="single" w:color="auto" w:sz="4" w:space="0"/>
            </w:tcBorders>
            <w:vAlign w:val="center"/>
          </w:tcPr>
          <w:p w14:paraId="4A6BE934">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符合采购文件要求</w:t>
            </w:r>
          </w:p>
        </w:tc>
        <w:tc>
          <w:tcPr>
            <w:tcW w:w="1099" w:type="dxa"/>
            <w:tcBorders>
              <w:bottom w:val="single" w:color="auto" w:sz="4" w:space="0"/>
            </w:tcBorders>
            <w:vAlign w:val="center"/>
          </w:tcPr>
          <w:p w14:paraId="28DE3EDE">
            <w:pPr>
              <w:adjustRightInd w:val="0"/>
              <w:snapToGrid w:val="0"/>
              <w:spacing w:line="400" w:lineRule="exact"/>
              <w:ind w:right="-10"/>
              <w:jc w:val="center"/>
              <w:rPr>
                <w:rFonts w:ascii="仿宋" w:hAnsi="仿宋" w:eastAsia="仿宋" w:cs="仿宋"/>
                <w:b/>
                <w:bCs/>
                <w:color w:val="000000"/>
                <w:sz w:val="24"/>
              </w:rPr>
            </w:pPr>
          </w:p>
        </w:tc>
        <w:tc>
          <w:tcPr>
            <w:tcW w:w="3583" w:type="dxa"/>
            <w:tcBorders>
              <w:bottom w:val="single" w:color="auto" w:sz="4" w:space="0"/>
            </w:tcBorders>
            <w:vAlign w:val="center"/>
          </w:tcPr>
          <w:p w14:paraId="711E8F5B">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2022年至今单项不低于3万元的相关消防类维保合同（以签定时间为准）</w:t>
            </w:r>
          </w:p>
        </w:tc>
      </w:tr>
      <w:tr w14:paraId="310A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815" w:type="dxa"/>
            <w:tcBorders>
              <w:bottom w:val="single" w:color="auto" w:sz="4" w:space="0"/>
            </w:tcBorders>
            <w:vAlign w:val="center"/>
          </w:tcPr>
          <w:p w14:paraId="770656D9">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3</w:t>
            </w:r>
          </w:p>
        </w:tc>
        <w:tc>
          <w:tcPr>
            <w:tcW w:w="1901" w:type="dxa"/>
            <w:tcBorders>
              <w:bottom w:val="single" w:color="auto" w:sz="4" w:space="0"/>
            </w:tcBorders>
            <w:vAlign w:val="center"/>
          </w:tcPr>
          <w:p w14:paraId="493EC0DC">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具备消防专业维保和检测资质</w:t>
            </w:r>
          </w:p>
        </w:tc>
        <w:tc>
          <w:tcPr>
            <w:tcW w:w="2159" w:type="dxa"/>
            <w:tcBorders>
              <w:bottom w:val="single" w:color="auto" w:sz="4" w:space="0"/>
            </w:tcBorders>
            <w:vAlign w:val="center"/>
          </w:tcPr>
          <w:p w14:paraId="0779A5D8">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在有效期内</w:t>
            </w:r>
          </w:p>
        </w:tc>
        <w:tc>
          <w:tcPr>
            <w:tcW w:w="1099" w:type="dxa"/>
            <w:tcBorders>
              <w:bottom w:val="single" w:color="auto" w:sz="4" w:space="0"/>
            </w:tcBorders>
            <w:vAlign w:val="center"/>
          </w:tcPr>
          <w:p w14:paraId="60DC14DA">
            <w:pPr>
              <w:adjustRightInd w:val="0"/>
              <w:snapToGrid w:val="0"/>
              <w:spacing w:line="400" w:lineRule="exact"/>
              <w:ind w:right="-11"/>
              <w:jc w:val="center"/>
              <w:rPr>
                <w:rFonts w:ascii="仿宋" w:hAnsi="仿宋" w:eastAsia="仿宋" w:cs="仿宋"/>
                <w:color w:val="000000"/>
                <w:sz w:val="24"/>
              </w:rPr>
            </w:pPr>
          </w:p>
        </w:tc>
        <w:tc>
          <w:tcPr>
            <w:tcW w:w="3583" w:type="dxa"/>
            <w:tcBorders>
              <w:bottom w:val="single" w:color="auto" w:sz="4" w:space="0"/>
            </w:tcBorders>
            <w:vAlign w:val="center"/>
          </w:tcPr>
          <w:p w14:paraId="7618D0AD">
            <w:pPr>
              <w:adjustRightInd w:val="0"/>
              <w:snapToGrid w:val="0"/>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提供消防专业维保和检测资质扫描件</w:t>
            </w:r>
          </w:p>
        </w:tc>
      </w:tr>
      <w:tr w14:paraId="02A0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15" w:type="dxa"/>
            <w:vAlign w:val="center"/>
          </w:tcPr>
          <w:p w14:paraId="767B3AC9">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4</w:t>
            </w:r>
          </w:p>
        </w:tc>
        <w:tc>
          <w:tcPr>
            <w:tcW w:w="1901" w:type="dxa"/>
            <w:vAlign w:val="center"/>
          </w:tcPr>
          <w:p w14:paraId="708B2575">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投标函</w:t>
            </w:r>
          </w:p>
        </w:tc>
        <w:tc>
          <w:tcPr>
            <w:tcW w:w="2159" w:type="dxa"/>
            <w:vAlign w:val="center"/>
          </w:tcPr>
          <w:p w14:paraId="2528DDD6">
            <w:pPr>
              <w:spacing w:after="50" w:line="400" w:lineRule="exact"/>
              <w:ind w:right="-10"/>
              <w:jc w:val="center"/>
              <w:rPr>
                <w:rFonts w:ascii="仿宋" w:hAnsi="仿宋" w:eastAsia="仿宋" w:cs="仿宋"/>
                <w:color w:val="000000"/>
                <w:sz w:val="24"/>
              </w:rPr>
            </w:pPr>
            <w:r>
              <w:rPr>
                <w:rFonts w:hint="eastAsia" w:ascii="仿宋" w:hAnsi="仿宋" w:eastAsia="仿宋" w:cs="仿宋"/>
                <w:color w:val="000000"/>
                <w:sz w:val="24"/>
              </w:rPr>
              <w:t>符合采购文件要求</w:t>
            </w:r>
          </w:p>
        </w:tc>
        <w:tc>
          <w:tcPr>
            <w:tcW w:w="1099" w:type="dxa"/>
            <w:vAlign w:val="center"/>
          </w:tcPr>
          <w:p w14:paraId="2BD3169D">
            <w:pPr>
              <w:adjustRightInd w:val="0"/>
              <w:snapToGrid w:val="0"/>
              <w:spacing w:line="400" w:lineRule="exact"/>
              <w:ind w:right="-10"/>
              <w:jc w:val="center"/>
              <w:rPr>
                <w:rFonts w:ascii="仿宋" w:hAnsi="仿宋" w:eastAsia="仿宋" w:cs="仿宋"/>
                <w:color w:val="000000"/>
                <w:sz w:val="24"/>
              </w:rPr>
            </w:pPr>
          </w:p>
        </w:tc>
        <w:tc>
          <w:tcPr>
            <w:tcW w:w="3583" w:type="dxa"/>
            <w:vAlign w:val="center"/>
          </w:tcPr>
          <w:p w14:paraId="5C173D88">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是否按照附件1提供</w:t>
            </w:r>
          </w:p>
        </w:tc>
      </w:tr>
      <w:tr w14:paraId="686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15" w:type="dxa"/>
            <w:vAlign w:val="center"/>
          </w:tcPr>
          <w:p w14:paraId="5DF35967">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5</w:t>
            </w:r>
          </w:p>
        </w:tc>
        <w:tc>
          <w:tcPr>
            <w:tcW w:w="1901" w:type="dxa"/>
            <w:vAlign w:val="center"/>
          </w:tcPr>
          <w:p w14:paraId="5BB9ABBF">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lang w:val="zh-CN"/>
              </w:rPr>
              <w:t>无不良征信承诺书</w:t>
            </w:r>
          </w:p>
        </w:tc>
        <w:tc>
          <w:tcPr>
            <w:tcW w:w="2159" w:type="dxa"/>
            <w:vAlign w:val="center"/>
          </w:tcPr>
          <w:p w14:paraId="7CFE9B5F">
            <w:pPr>
              <w:spacing w:after="50" w:line="400" w:lineRule="exact"/>
              <w:ind w:right="-10"/>
              <w:jc w:val="center"/>
              <w:rPr>
                <w:rFonts w:ascii="仿宋" w:hAnsi="仿宋" w:eastAsia="仿宋" w:cs="仿宋"/>
                <w:color w:val="000000"/>
                <w:sz w:val="24"/>
              </w:rPr>
            </w:pPr>
            <w:r>
              <w:rPr>
                <w:rFonts w:hint="eastAsia" w:ascii="仿宋" w:hAnsi="仿宋" w:eastAsia="仿宋" w:cs="仿宋"/>
                <w:color w:val="000000"/>
                <w:sz w:val="24"/>
              </w:rPr>
              <w:t>符合采购文件要求</w:t>
            </w:r>
          </w:p>
        </w:tc>
        <w:tc>
          <w:tcPr>
            <w:tcW w:w="1099" w:type="dxa"/>
            <w:vAlign w:val="center"/>
          </w:tcPr>
          <w:p w14:paraId="4E9B754F">
            <w:pPr>
              <w:adjustRightInd w:val="0"/>
              <w:snapToGrid w:val="0"/>
              <w:spacing w:line="400" w:lineRule="exact"/>
              <w:ind w:right="-10"/>
              <w:jc w:val="center"/>
              <w:rPr>
                <w:rFonts w:ascii="仿宋" w:hAnsi="仿宋" w:eastAsia="仿宋" w:cs="仿宋"/>
                <w:color w:val="000000"/>
                <w:sz w:val="24"/>
              </w:rPr>
            </w:pPr>
          </w:p>
        </w:tc>
        <w:tc>
          <w:tcPr>
            <w:tcW w:w="3583" w:type="dxa"/>
            <w:vAlign w:val="center"/>
          </w:tcPr>
          <w:p w14:paraId="3CF043D2">
            <w:pPr>
              <w:adjustRightInd w:val="0"/>
              <w:snapToGrid w:val="0"/>
              <w:spacing w:line="400" w:lineRule="exact"/>
              <w:ind w:right="-10"/>
              <w:jc w:val="center"/>
              <w:rPr>
                <w:rFonts w:ascii="仿宋" w:hAnsi="仿宋" w:eastAsia="仿宋" w:cs="仿宋"/>
                <w:b/>
                <w:color w:val="000000"/>
                <w:sz w:val="24"/>
              </w:rPr>
            </w:pPr>
            <w:r>
              <w:rPr>
                <w:rFonts w:hint="eastAsia" w:ascii="仿宋" w:hAnsi="仿宋" w:eastAsia="仿宋" w:cs="仿宋"/>
                <w:color w:val="000000"/>
                <w:sz w:val="24"/>
              </w:rPr>
              <w:t>是否按照附件6提供</w:t>
            </w:r>
          </w:p>
        </w:tc>
      </w:tr>
      <w:tr w14:paraId="62DE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815" w:type="dxa"/>
            <w:vAlign w:val="center"/>
          </w:tcPr>
          <w:p w14:paraId="4611418C">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6</w:t>
            </w:r>
          </w:p>
        </w:tc>
        <w:tc>
          <w:tcPr>
            <w:tcW w:w="1901" w:type="dxa"/>
            <w:vAlign w:val="center"/>
          </w:tcPr>
          <w:p w14:paraId="1F0C74C6">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授权委托书或法人身份证复印件</w:t>
            </w:r>
          </w:p>
        </w:tc>
        <w:tc>
          <w:tcPr>
            <w:tcW w:w="2159" w:type="dxa"/>
            <w:vAlign w:val="center"/>
          </w:tcPr>
          <w:p w14:paraId="3BE88C66">
            <w:pPr>
              <w:spacing w:after="50" w:line="400" w:lineRule="exact"/>
              <w:ind w:right="-10"/>
              <w:jc w:val="center"/>
              <w:rPr>
                <w:rFonts w:ascii="仿宋" w:hAnsi="仿宋" w:eastAsia="仿宋" w:cs="仿宋"/>
                <w:color w:val="000000"/>
                <w:sz w:val="24"/>
              </w:rPr>
            </w:pPr>
            <w:r>
              <w:rPr>
                <w:rFonts w:hint="eastAsia" w:ascii="仿宋" w:hAnsi="仿宋" w:eastAsia="仿宋" w:cs="仿宋"/>
                <w:color w:val="000000"/>
                <w:sz w:val="24"/>
              </w:rPr>
              <w:t>是否提供</w:t>
            </w:r>
          </w:p>
        </w:tc>
        <w:tc>
          <w:tcPr>
            <w:tcW w:w="1099" w:type="dxa"/>
            <w:vAlign w:val="center"/>
          </w:tcPr>
          <w:p w14:paraId="635EEEEF">
            <w:pPr>
              <w:adjustRightInd w:val="0"/>
              <w:snapToGrid w:val="0"/>
              <w:spacing w:line="400" w:lineRule="exact"/>
              <w:ind w:right="-10"/>
              <w:jc w:val="center"/>
              <w:rPr>
                <w:rFonts w:ascii="仿宋" w:hAnsi="仿宋" w:eastAsia="仿宋" w:cs="仿宋"/>
                <w:color w:val="000000"/>
                <w:sz w:val="24"/>
              </w:rPr>
            </w:pPr>
          </w:p>
        </w:tc>
        <w:tc>
          <w:tcPr>
            <w:tcW w:w="3583" w:type="dxa"/>
            <w:vAlign w:val="center"/>
          </w:tcPr>
          <w:p w14:paraId="4C012469">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是否提供</w:t>
            </w:r>
          </w:p>
        </w:tc>
      </w:tr>
      <w:tr w14:paraId="272C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15" w:type="dxa"/>
            <w:vAlign w:val="center"/>
          </w:tcPr>
          <w:p w14:paraId="126B62E3">
            <w:pPr>
              <w:adjustRightInd w:val="0"/>
              <w:snapToGrid w:val="0"/>
              <w:spacing w:line="400" w:lineRule="exact"/>
              <w:ind w:right="-10"/>
              <w:jc w:val="center"/>
              <w:rPr>
                <w:rFonts w:ascii="仿宋" w:hAnsi="仿宋" w:eastAsia="仿宋" w:cs="仿宋"/>
                <w:color w:val="000000"/>
                <w:sz w:val="24"/>
              </w:rPr>
            </w:pPr>
            <w:r>
              <w:rPr>
                <w:rFonts w:hint="eastAsia" w:ascii="仿宋" w:hAnsi="仿宋" w:eastAsia="仿宋" w:cs="仿宋"/>
                <w:color w:val="000000"/>
                <w:sz w:val="24"/>
              </w:rPr>
              <w:t>7</w:t>
            </w:r>
          </w:p>
        </w:tc>
        <w:tc>
          <w:tcPr>
            <w:tcW w:w="1901" w:type="dxa"/>
            <w:vAlign w:val="center"/>
          </w:tcPr>
          <w:p w14:paraId="3CBD590F">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报价单</w:t>
            </w:r>
          </w:p>
        </w:tc>
        <w:tc>
          <w:tcPr>
            <w:tcW w:w="2159" w:type="dxa"/>
            <w:vAlign w:val="center"/>
          </w:tcPr>
          <w:p w14:paraId="470E6FF0">
            <w:pPr>
              <w:spacing w:after="50" w:line="400" w:lineRule="exact"/>
              <w:ind w:right="-10"/>
              <w:jc w:val="center"/>
              <w:rPr>
                <w:rFonts w:ascii="仿宋" w:hAnsi="仿宋" w:eastAsia="仿宋" w:cs="仿宋"/>
                <w:color w:val="000000"/>
                <w:sz w:val="24"/>
              </w:rPr>
            </w:pPr>
            <w:r>
              <w:rPr>
                <w:rFonts w:hint="eastAsia" w:ascii="仿宋" w:hAnsi="仿宋" w:eastAsia="仿宋" w:cs="仿宋"/>
                <w:color w:val="000000"/>
                <w:sz w:val="24"/>
              </w:rPr>
              <w:t>符合采购文件要求</w:t>
            </w:r>
          </w:p>
        </w:tc>
        <w:tc>
          <w:tcPr>
            <w:tcW w:w="1099" w:type="dxa"/>
            <w:vAlign w:val="center"/>
          </w:tcPr>
          <w:p w14:paraId="0FE91BB6">
            <w:pPr>
              <w:adjustRightInd w:val="0"/>
              <w:snapToGrid w:val="0"/>
              <w:spacing w:line="400" w:lineRule="exact"/>
              <w:ind w:right="-10"/>
              <w:jc w:val="center"/>
              <w:rPr>
                <w:rFonts w:ascii="仿宋" w:hAnsi="仿宋" w:eastAsia="仿宋" w:cs="仿宋"/>
                <w:color w:val="000000"/>
                <w:sz w:val="24"/>
              </w:rPr>
            </w:pPr>
          </w:p>
        </w:tc>
        <w:tc>
          <w:tcPr>
            <w:tcW w:w="3583" w:type="dxa"/>
            <w:vAlign w:val="center"/>
          </w:tcPr>
          <w:p w14:paraId="7CD8E091">
            <w:pPr>
              <w:tabs>
                <w:tab w:val="left" w:pos="1127"/>
              </w:tabs>
              <w:adjustRightInd w:val="0"/>
              <w:snapToGrid w:val="0"/>
              <w:spacing w:line="400" w:lineRule="exact"/>
              <w:ind w:right="-10" w:firstLine="480" w:firstLineChars="200"/>
              <w:jc w:val="left"/>
              <w:rPr>
                <w:rFonts w:ascii="仿宋" w:hAnsi="仿宋" w:eastAsia="仿宋" w:cs="仿宋"/>
                <w:color w:val="000000"/>
                <w:sz w:val="24"/>
              </w:rPr>
            </w:pPr>
            <w:r>
              <w:rPr>
                <w:rFonts w:hint="eastAsia" w:ascii="仿宋" w:hAnsi="仿宋" w:eastAsia="仿宋" w:cs="仿宋"/>
                <w:color w:val="000000"/>
                <w:sz w:val="24"/>
              </w:rPr>
              <w:t>是否按照附件2提供</w:t>
            </w:r>
          </w:p>
        </w:tc>
      </w:tr>
      <w:tr w14:paraId="3E23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0" w:hRule="atLeast"/>
          <w:jc w:val="center"/>
        </w:trPr>
        <w:tc>
          <w:tcPr>
            <w:tcW w:w="9557" w:type="dxa"/>
            <w:gridSpan w:val="5"/>
            <w:vAlign w:val="center"/>
          </w:tcPr>
          <w:p w14:paraId="618EA161">
            <w:pPr>
              <w:pStyle w:val="4"/>
              <w:spacing w:before="139" w:line="400" w:lineRule="exact"/>
              <w:rPr>
                <w:rFonts w:ascii="仿宋" w:hAnsi="仿宋" w:eastAsia="仿宋" w:cs="仿宋"/>
                <w:color w:val="000000"/>
                <w:sz w:val="24"/>
              </w:rPr>
            </w:pPr>
            <w:r>
              <w:rPr>
                <w:rFonts w:hint="eastAsia" w:ascii="仿宋" w:hAnsi="仿宋" w:eastAsia="仿宋" w:cs="仿宋"/>
                <w:color w:val="000000"/>
                <w:sz w:val="24"/>
              </w:rPr>
              <w:t>评审指标通过标准：</w:t>
            </w:r>
          </w:p>
          <w:p w14:paraId="37D1E732">
            <w:pPr>
              <w:pStyle w:val="4"/>
              <w:spacing w:before="139" w:line="360" w:lineRule="auto"/>
              <w:rPr>
                <w:rFonts w:ascii="仿宋" w:hAnsi="仿宋" w:eastAsia="仿宋" w:cs="仿宋"/>
                <w:color w:val="000000"/>
                <w:sz w:val="24"/>
              </w:rPr>
            </w:pPr>
            <w:r>
              <w:rPr>
                <w:rFonts w:hint="eastAsia" w:ascii="仿宋" w:hAnsi="仿宋" w:eastAsia="仿宋" w:cs="仿宋"/>
                <w:color w:val="000000"/>
                <w:sz w:val="24"/>
              </w:rPr>
              <w:t>（1）资格审查采用定性方法，符合性评审，所有评审选项必须全部通过方为合格。</w:t>
            </w:r>
          </w:p>
          <w:p w14:paraId="0A9F44A8">
            <w:pPr>
              <w:adjustRightInd w:val="0"/>
              <w:snapToGrid w:val="0"/>
              <w:spacing w:line="360" w:lineRule="auto"/>
              <w:ind w:right="-10"/>
              <w:rPr>
                <w:rFonts w:ascii="仿宋" w:hAnsi="仿宋" w:eastAsia="仿宋" w:cs="仿宋"/>
                <w:color w:val="000000"/>
                <w:sz w:val="24"/>
              </w:rPr>
            </w:pPr>
            <w:r>
              <w:rPr>
                <w:rFonts w:hint="eastAsia" w:ascii="仿宋" w:hAnsi="仿宋" w:eastAsia="仿宋" w:cs="仿宋"/>
                <w:color w:val="000000"/>
                <w:sz w:val="24"/>
              </w:rPr>
              <w:t>评审委员会根据表中所列各项指标对投标人是否为有效标进行评审，未列入上表中的指标不得作为废标依据。符合评审指标通过标准的，为有效投标。未通过评审的投标人将不参与详细评审。</w:t>
            </w:r>
          </w:p>
          <w:p w14:paraId="1B198C31">
            <w:pPr>
              <w:adjustRightInd w:val="0"/>
              <w:snapToGrid w:val="0"/>
              <w:spacing w:line="360" w:lineRule="auto"/>
              <w:rPr>
                <w:rFonts w:ascii="仿宋" w:hAnsi="仿宋" w:eastAsia="仿宋" w:cs="仿宋"/>
                <w:b/>
                <w:color w:val="000000"/>
                <w:sz w:val="24"/>
              </w:rPr>
            </w:pPr>
            <w:r>
              <w:rPr>
                <w:rFonts w:hint="eastAsia" w:ascii="仿宋" w:hAnsi="仿宋" w:eastAsia="仿宋" w:cs="仿宋"/>
                <w:color w:val="000000"/>
                <w:sz w:val="24"/>
              </w:rPr>
              <w:t>（2）投标人提供的资料不全、不清楚、超出有效期等情况，将由评审委员会按照对投标人不利的解释去理解，由此产生的一切后果由投标人自行承担。</w:t>
            </w:r>
          </w:p>
        </w:tc>
      </w:tr>
    </w:tbl>
    <w:p w14:paraId="06043716">
      <w:pPr>
        <w:pStyle w:val="2"/>
        <w:ind w:firstLine="0" w:firstLineChars="0"/>
      </w:pPr>
    </w:p>
    <w:p w14:paraId="6AC1EBA1">
      <w:pPr>
        <w:pStyle w:val="2"/>
        <w:ind w:firstLine="0" w:firstLineChars="0"/>
        <w:rPr>
          <w:rFonts w:ascii="仿宋_GB2312" w:hAnsi="仿宋_GB2312" w:eastAsia="仿宋_GB2312" w:cs="仿宋_GB2312"/>
          <w:kern w:val="0"/>
          <w:sz w:val="30"/>
          <w:szCs w:val="30"/>
        </w:rPr>
      </w:pPr>
      <w:r>
        <w:rPr>
          <w:rFonts w:hint="eastAsia" w:ascii="仿宋_GB2312" w:hAnsi="仿宋_GB2312" w:eastAsia="仿宋_GB2312" w:cs="仿宋_GB2312"/>
          <w:b/>
          <w:bCs/>
          <w:sz w:val="28"/>
          <w:szCs w:val="28"/>
        </w:rPr>
        <w:t>评审人员会签：</w:t>
      </w:r>
    </w:p>
    <w:p w14:paraId="2C7978E0">
      <w:pPr>
        <w:rPr>
          <w:rFonts w:ascii="仿宋_GB2312" w:eastAsia="仿宋_GB2312"/>
          <w:sz w:val="32"/>
          <w:szCs w:val="32"/>
        </w:rPr>
      </w:pPr>
      <w:r>
        <w:rPr>
          <w:rFonts w:hint="eastAsia" w:ascii="仿宋_GB2312" w:eastAsia="仿宋_GB2312"/>
          <w:sz w:val="32"/>
          <w:szCs w:val="32"/>
        </w:rPr>
        <w:t>附件4</w:t>
      </w:r>
    </w:p>
    <w:p w14:paraId="4B1EE6BE">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7B86D7CB">
      <w:pPr>
        <w:spacing w:line="360" w:lineRule="auto"/>
        <w:rPr>
          <w:rFonts w:ascii="Calibri" w:hAnsi="Calibri" w:eastAsia="仿宋" w:cs="Times New Roman"/>
          <w:b/>
          <w:sz w:val="28"/>
          <w:szCs w:val="28"/>
        </w:rPr>
      </w:pPr>
    </w:p>
    <w:p w14:paraId="7F117F9A">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5D5936B2">
      <w:pPr>
        <w:ind w:firstLine="960" w:firstLineChars="300"/>
        <w:rPr>
          <w:rFonts w:ascii="仿宋_GB2312" w:eastAsia="仿宋_GB2312"/>
          <w:sz w:val="32"/>
          <w:szCs w:val="32"/>
        </w:rPr>
      </w:pPr>
      <w:r>
        <w:rPr>
          <w:rFonts w:hint="eastAsia" w:ascii="仿宋_GB2312" w:eastAsia="仿宋_GB2312"/>
          <w:sz w:val="32"/>
          <w:szCs w:val="32"/>
        </w:rPr>
        <w:t>委托期限:</w:t>
      </w:r>
    </w:p>
    <w:p w14:paraId="42943F54">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4C4E4C3C">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72CF8803">
      <w:pPr>
        <w:rPr>
          <w:rFonts w:ascii="仿宋_GB2312" w:eastAsia="仿宋_GB2312"/>
          <w:sz w:val="32"/>
          <w:szCs w:val="32"/>
        </w:rPr>
      </w:pPr>
    </w:p>
    <w:p w14:paraId="1EA1E2B6">
      <w:pPr>
        <w:ind w:firstLine="960" w:firstLineChars="300"/>
        <w:rPr>
          <w:rFonts w:ascii="仿宋_GB2312" w:eastAsia="仿宋_GB2312"/>
          <w:sz w:val="32"/>
          <w:szCs w:val="32"/>
        </w:rPr>
      </w:pPr>
    </w:p>
    <w:p w14:paraId="43833144">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1B05CCAE">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4889F3EC">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6F5F6DDD">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3B069BEA">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079837C1">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759F8F1F">
      <w:pPr>
        <w:rPr>
          <w:rFonts w:ascii="仿宋_GB2312" w:eastAsia="仿宋_GB2312"/>
          <w:sz w:val="32"/>
          <w:szCs w:val="32"/>
        </w:rPr>
      </w:pPr>
    </w:p>
    <w:p w14:paraId="05429851">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66DA1F3C">
      <w:pPr>
        <w:rPr>
          <w:rFonts w:ascii="仿宋_GB2312" w:eastAsia="仿宋_GB2312"/>
          <w:sz w:val="32"/>
          <w:szCs w:val="32"/>
        </w:rPr>
      </w:pPr>
      <w:r>
        <w:rPr>
          <w:rFonts w:hint="eastAsia" w:ascii="仿宋_GB2312" w:eastAsia="仿宋_GB2312"/>
          <w:sz w:val="32"/>
          <w:szCs w:val="32"/>
        </w:rPr>
        <w:t>附件5</w:t>
      </w:r>
    </w:p>
    <w:p w14:paraId="58ED2965">
      <w:pPr>
        <w:ind w:firstLine="3092" w:firstLineChars="1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维保人员配备</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145A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1D59F769">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1F754A51">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71B0D0BA">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27445E77">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04E8CE7B">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7245F097">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002BBBA2">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28C9E32F">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641D57CB">
            <w:pPr>
              <w:spacing w:line="240" w:lineRule="atLeast"/>
              <w:jc w:val="center"/>
              <w:rPr>
                <w:rFonts w:ascii="宋体" w:hAnsi="宋体"/>
                <w:b/>
                <w:bCs/>
                <w:iCs/>
                <w:sz w:val="25"/>
                <w:szCs w:val="25"/>
              </w:rPr>
            </w:pPr>
            <w:r>
              <w:rPr>
                <w:rFonts w:ascii="宋体" w:hAnsi="宋体"/>
                <w:b/>
                <w:bCs/>
                <w:iCs/>
                <w:sz w:val="25"/>
                <w:szCs w:val="25"/>
              </w:rPr>
              <w:t>在本项目</w:t>
            </w:r>
          </w:p>
          <w:p w14:paraId="54BDE72E">
            <w:pPr>
              <w:spacing w:line="240" w:lineRule="atLeast"/>
              <w:jc w:val="center"/>
              <w:rPr>
                <w:rFonts w:ascii="宋体" w:hAnsi="宋体"/>
                <w:b/>
                <w:bCs/>
                <w:iCs/>
                <w:sz w:val="25"/>
                <w:szCs w:val="25"/>
              </w:rPr>
            </w:pPr>
            <w:r>
              <w:rPr>
                <w:rFonts w:ascii="宋体" w:hAnsi="宋体"/>
                <w:b/>
                <w:bCs/>
                <w:iCs/>
                <w:sz w:val="25"/>
                <w:szCs w:val="25"/>
              </w:rPr>
              <w:t>拟任职务</w:t>
            </w:r>
          </w:p>
        </w:tc>
      </w:tr>
      <w:tr w14:paraId="6769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3D70706">
            <w:pPr>
              <w:spacing w:line="600" w:lineRule="exact"/>
              <w:jc w:val="center"/>
              <w:rPr>
                <w:rFonts w:ascii="宋体" w:hAnsi="宋体"/>
                <w:sz w:val="25"/>
                <w:szCs w:val="25"/>
              </w:rPr>
            </w:pPr>
          </w:p>
        </w:tc>
        <w:tc>
          <w:tcPr>
            <w:tcW w:w="1318" w:type="dxa"/>
          </w:tcPr>
          <w:p w14:paraId="1B356060">
            <w:pPr>
              <w:spacing w:line="600" w:lineRule="exact"/>
              <w:jc w:val="center"/>
              <w:rPr>
                <w:rFonts w:ascii="宋体" w:hAnsi="宋体"/>
                <w:sz w:val="25"/>
                <w:szCs w:val="25"/>
              </w:rPr>
            </w:pPr>
          </w:p>
        </w:tc>
        <w:tc>
          <w:tcPr>
            <w:tcW w:w="842" w:type="dxa"/>
          </w:tcPr>
          <w:p w14:paraId="69BF0BA1">
            <w:pPr>
              <w:spacing w:line="600" w:lineRule="exact"/>
              <w:jc w:val="center"/>
              <w:rPr>
                <w:rFonts w:ascii="宋体" w:hAnsi="宋体"/>
                <w:sz w:val="25"/>
                <w:szCs w:val="25"/>
              </w:rPr>
            </w:pPr>
          </w:p>
        </w:tc>
        <w:tc>
          <w:tcPr>
            <w:tcW w:w="816" w:type="dxa"/>
          </w:tcPr>
          <w:p w14:paraId="612E07A3">
            <w:pPr>
              <w:spacing w:line="600" w:lineRule="exact"/>
              <w:jc w:val="center"/>
              <w:rPr>
                <w:rFonts w:ascii="宋体" w:hAnsi="宋体"/>
                <w:sz w:val="25"/>
                <w:szCs w:val="25"/>
              </w:rPr>
            </w:pPr>
          </w:p>
        </w:tc>
        <w:tc>
          <w:tcPr>
            <w:tcW w:w="984" w:type="dxa"/>
          </w:tcPr>
          <w:p w14:paraId="3DE7E47D">
            <w:pPr>
              <w:spacing w:line="600" w:lineRule="exact"/>
              <w:jc w:val="center"/>
              <w:rPr>
                <w:rFonts w:ascii="宋体" w:hAnsi="宋体"/>
                <w:sz w:val="25"/>
                <w:szCs w:val="25"/>
              </w:rPr>
            </w:pPr>
          </w:p>
        </w:tc>
        <w:tc>
          <w:tcPr>
            <w:tcW w:w="816" w:type="dxa"/>
          </w:tcPr>
          <w:p w14:paraId="043554F3">
            <w:pPr>
              <w:spacing w:line="600" w:lineRule="exact"/>
              <w:jc w:val="center"/>
              <w:rPr>
                <w:rFonts w:ascii="宋体" w:hAnsi="宋体"/>
                <w:sz w:val="25"/>
                <w:szCs w:val="25"/>
              </w:rPr>
            </w:pPr>
          </w:p>
        </w:tc>
        <w:tc>
          <w:tcPr>
            <w:tcW w:w="1582" w:type="dxa"/>
          </w:tcPr>
          <w:p w14:paraId="0D0890F9">
            <w:pPr>
              <w:spacing w:line="600" w:lineRule="exact"/>
              <w:jc w:val="center"/>
              <w:rPr>
                <w:rFonts w:ascii="宋体" w:hAnsi="宋体"/>
                <w:sz w:val="25"/>
                <w:szCs w:val="25"/>
              </w:rPr>
            </w:pPr>
          </w:p>
        </w:tc>
        <w:tc>
          <w:tcPr>
            <w:tcW w:w="1575" w:type="dxa"/>
          </w:tcPr>
          <w:p w14:paraId="1CAE57C2">
            <w:pPr>
              <w:spacing w:line="600" w:lineRule="exact"/>
              <w:jc w:val="center"/>
              <w:rPr>
                <w:rFonts w:ascii="宋体" w:hAnsi="宋体"/>
                <w:sz w:val="25"/>
                <w:szCs w:val="25"/>
              </w:rPr>
            </w:pPr>
          </w:p>
        </w:tc>
      </w:tr>
      <w:tr w14:paraId="17F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103FEF3">
            <w:pPr>
              <w:spacing w:line="600" w:lineRule="exact"/>
              <w:jc w:val="center"/>
              <w:rPr>
                <w:rFonts w:ascii="宋体" w:hAnsi="宋体"/>
                <w:sz w:val="25"/>
                <w:szCs w:val="25"/>
              </w:rPr>
            </w:pPr>
          </w:p>
        </w:tc>
        <w:tc>
          <w:tcPr>
            <w:tcW w:w="1318" w:type="dxa"/>
          </w:tcPr>
          <w:p w14:paraId="2158919D">
            <w:pPr>
              <w:spacing w:line="600" w:lineRule="exact"/>
              <w:jc w:val="center"/>
              <w:rPr>
                <w:rFonts w:ascii="宋体" w:hAnsi="宋体"/>
                <w:sz w:val="25"/>
                <w:szCs w:val="25"/>
              </w:rPr>
            </w:pPr>
          </w:p>
        </w:tc>
        <w:tc>
          <w:tcPr>
            <w:tcW w:w="842" w:type="dxa"/>
          </w:tcPr>
          <w:p w14:paraId="5DD6E5A3">
            <w:pPr>
              <w:spacing w:line="600" w:lineRule="exact"/>
              <w:jc w:val="center"/>
              <w:rPr>
                <w:rFonts w:ascii="宋体" w:hAnsi="宋体"/>
                <w:sz w:val="25"/>
                <w:szCs w:val="25"/>
              </w:rPr>
            </w:pPr>
          </w:p>
        </w:tc>
        <w:tc>
          <w:tcPr>
            <w:tcW w:w="816" w:type="dxa"/>
          </w:tcPr>
          <w:p w14:paraId="1834817F">
            <w:pPr>
              <w:spacing w:line="600" w:lineRule="exact"/>
              <w:jc w:val="center"/>
              <w:rPr>
                <w:rFonts w:ascii="宋体" w:hAnsi="宋体"/>
                <w:sz w:val="25"/>
                <w:szCs w:val="25"/>
              </w:rPr>
            </w:pPr>
          </w:p>
        </w:tc>
        <w:tc>
          <w:tcPr>
            <w:tcW w:w="984" w:type="dxa"/>
          </w:tcPr>
          <w:p w14:paraId="3158B277">
            <w:pPr>
              <w:spacing w:line="600" w:lineRule="exact"/>
              <w:jc w:val="center"/>
              <w:rPr>
                <w:rFonts w:ascii="宋体" w:hAnsi="宋体"/>
                <w:sz w:val="25"/>
                <w:szCs w:val="25"/>
              </w:rPr>
            </w:pPr>
          </w:p>
        </w:tc>
        <w:tc>
          <w:tcPr>
            <w:tcW w:w="816" w:type="dxa"/>
          </w:tcPr>
          <w:p w14:paraId="32C34417">
            <w:pPr>
              <w:spacing w:line="600" w:lineRule="exact"/>
              <w:jc w:val="center"/>
              <w:rPr>
                <w:rFonts w:ascii="宋体" w:hAnsi="宋体"/>
                <w:sz w:val="25"/>
                <w:szCs w:val="25"/>
              </w:rPr>
            </w:pPr>
          </w:p>
        </w:tc>
        <w:tc>
          <w:tcPr>
            <w:tcW w:w="1582" w:type="dxa"/>
          </w:tcPr>
          <w:p w14:paraId="0817FD6D">
            <w:pPr>
              <w:spacing w:line="600" w:lineRule="exact"/>
              <w:jc w:val="center"/>
              <w:rPr>
                <w:rFonts w:ascii="宋体" w:hAnsi="宋体"/>
                <w:sz w:val="25"/>
                <w:szCs w:val="25"/>
              </w:rPr>
            </w:pPr>
          </w:p>
        </w:tc>
        <w:tc>
          <w:tcPr>
            <w:tcW w:w="1575" w:type="dxa"/>
          </w:tcPr>
          <w:p w14:paraId="1B61F4A0">
            <w:pPr>
              <w:spacing w:line="600" w:lineRule="exact"/>
              <w:jc w:val="center"/>
              <w:rPr>
                <w:rFonts w:ascii="宋体" w:hAnsi="宋体"/>
                <w:sz w:val="25"/>
                <w:szCs w:val="25"/>
              </w:rPr>
            </w:pPr>
          </w:p>
        </w:tc>
      </w:tr>
      <w:tr w14:paraId="15B1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5FAB513">
            <w:pPr>
              <w:spacing w:line="600" w:lineRule="exact"/>
              <w:jc w:val="center"/>
              <w:rPr>
                <w:rFonts w:ascii="宋体" w:hAnsi="宋体"/>
                <w:sz w:val="25"/>
                <w:szCs w:val="25"/>
              </w:rPr>
            </w:pPr>
          </w:p>
        </w:tc>
        <w:tc>
          <w:tcPr>
            <w:tcW w:w="1318" w:type="dxa"/>
          </w:tcPr>
          <w:p w14:paraId="3E0174DE">
            <w:pPr>
              <w:spacing w:line="600" w:lineRule="exact"/>
              <w:jc w:val="center"/>
              <w:rPr>
                <w:rFonts w:ascii="宋体" w:hAnsi="宋体"/>
                <w:sz w:val="25"/>
                <w:szCs w:val="25"/>
              </w:rPr>
            </w:pPr>
          </w:p>
        </w:tc>
        <w:tc>
          <w:tcPr>
            <w:tcW w:w="842" w:type="dxa"/>
          </w:tcPr>
          <w:p w14:paraId="58ED2FC1">
            <w:pPr>
              <w:spacing w:line="600" w:lineRule="exact"/>
              <w:jc w:val="center"/>
              <w:rPr>
                <w:rFonts w:ascii="宋体" w:hAnsi="宋体"/>
                <w:sz w:val="25"/>
                <w:szCs w:val="25"/>
              </w:rPr>
            </w:pPr>
          </w:p>
        </w:tc>
        <w:tc>
          <w:tcPr>
            <w:tcW w:w="816" w:type="dxa"/>
          </w:tcPr>
          <w:p w14:paraId="1E4DE76A">
            <w:pPr>
              <w:spacing w:line="600" w:lineRule="exact"/>
              <w:jc w:val="center"/>
              <w:rPr>
                <w:rFonts w:ascii="宋体" w:hAnsi="宋体"/>
                <w:sz w:val="25"/>
                <w:szCs w:val="25"/>
              </w:rPr>
            </w:pPr>
          </w:p>
        </w:tc>
        <w:tc>
          <w:tcPr>
            <w:tcW w:w="984" w:type="dxa"/>
          </w:tcPr>
          <w:p w14:paraId="2DB3A15B">
            <w:pPr>
              <w:spacing w:line="600" w:lineRule="exact"/>
              <w:jc w:val="center"/>
              <w:rPr>
                <w:rFonts w:ascii="宋体" w:hAnsi="宋体"/>
                <w:sz w:val="25"/>
                <w:szCs w:val="25"/>
              </w:rPr>
            </w:pPr>
          </w:p>
        </w:tc>
        <w:tc>
          <w:tcPr>
            <w:tcW w:w="816" w:type="dxa"/>
          </w:tcPr>
          <w:p w14:paraId="5F41DD59">
            <w:pPr>
              <w:spacing w:line="600" w:lineRule="exact"/>
              <w:jc w:val="center"/>
              <w:rPr>
                <w:rFonts w:ascii="宋体" w:hAnsi="宋体"/>
                <w:sz w:val="25"/>
                <w:szCs w:val="25"/>
              </w:rPr>
            </w:pPr>
          </w:p>
        </w:tc>
        <w:tc>
          <w:tcPr>
            <w:tcW w:w="1582" w:type="dxa"/>
          </w:tcPr>
          <w:p w14:paraId="7CD58F7F">
            <w:pPr>
              <w:spacing w:line="600" w:lineRule="exact"/>
              <w:jc w:val="center"/>
              <w:rPr>
                <w:rFonts w:ascii="宋体" w:hAnsi="宋体"/>
                <w:sz w:val="25"/>
                <w:szCs w:val="25"/>
              </w:rPr>
            </w:pPr>
          </w:p>
        </w:tc>
        <w:tc>
          <w:tcPr>
            <w:tcW w:w="1575" w:type="dxa"/>
          </w:tcPr>
          <w:p w14:paraId="27EEF81E">
            <w:pPr>
              <w:spacing w:line="600" w:lineRule="exact"/>
              <w:jc w:val="center"/>
              <w:rPr>
                <w:rFonts w:ascii="宋体" w:hAnsi="宋体"/>
                <w:sz w:val="25"/>
                <w:szCs w:val="25"/>
              </w:rPr>
            </w:pPr>
          </w:p>
        </w:tc>
      </w:tr>
      <w:tr w14:paraId="2954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31C55E2">
            <w:pPr>
              <w:spacing w:line="600" w:lineRule="exact"/>
              <w:jc w:val="center"/>
              <w:rPr>
                <w:rFonts w:ascii="宋体" w:hAnsi="宋体"/>
                <w:sz w:val="25"/>
                <w:szCs w:val="25"/>
              </w:rPr>
            </w:pPr>
          </w:p>
        </w:tc>
        <w:tc>
          <w:tcPr>
            <w:tcW w:w="1318" w:type="dxa"/>
          </w:tcPr>
          <w:p w14:paraId="0117A396">
            <w:pPr>
              <w:spacing w:line="600" w:lineRule="exact"/>
              <w:jc w:val="center"/>
              <w:rPr>
                <w:rFonts w:ascii="宋体" w:hAnsi="宋体"/>
                <w:sz w:val="25"/>
                <w:szCs w:val="25"/>
              </w:rPr>
            </w:pPr>
          </w:p>
        </w:tc>
        <w:tc>
          <w:tcPr>
            <w:tcW w:w="842" w:type="dxa"/>
          </w:tcPr>
          <w:p w14:paraId="02EB54DD">
            <w:pPr>
              <w:spacing w:line="600" w:lineRule="exact"/>
              <w:jc w:val="center"/>
              <w:rPr>
                <w:rFonts w:ascii="宋体" w:hAnsi="宋体"/>
                <w:sz w:val="25"/>
                <w:szCs w:val="25"/>
              </w:rPr>
            </w:pPr>
          </w:p>
        </w:tc>
        <w:tc>
          <w:tcPr>
            <w:tcW w:w="816" w:type="dxa"/>
          </w:tcPr>
          <w:p w14:paraId="19234B93">
            <w:pPr>
              <w:spacing w:line="600" w:lineRule="exact"/>
              <w:jc w:val="center"/>
              <w:rPr>
                <w:rFonts w:ascii="宋体" w:hAnsi="宋体"/>
                <w:sz w:val="25"/>
                <w:szCs w:val="25"/>
              </w:rPr>
            </w:pPr>
          </w:p>
        </w:tc>
        <w:tc>
          <w:tcPr>
            <w:tcW w:w="984" w:type="dxa"/>
          </w:tcPr>
          <w:p w14:paraId="7A170899">
            <w:pPr>
              <w:spacing w:line="600" w:lineRule="exact"/>
              <w:jc w:val="center"/>
              <w:rPr>
                <w:rFonts w:ascii="宋体" w:hAnsi="宋体"/>
                <w:sz w:val="25"/>
                <w:szCs w:val="25"/>
              </w:rPr>
            </w:pPr>
          </w:p>
        </w:tc>
        <w:tc>
          <w:tcPr>
            <w:tcW w:w="816" w:type="dxa"/>
          </w:tcPr>
          <w:p w14:paraId="60B1BDFE">
            <w:pPr>
              <w:spacing w:line="600" w:lineRule="exact"/>
              <w:jc w:val="center"/>
              <w:rPr>
                <w:rFonts w:ascii="宋体" w:hAnsi="宋体"/>
                <w:sz w:val="25"/>
                <w:szCs w:val="25"/>
              </w:rPr>
            </w:pPr>
          </w:p>
        </w:tc>
        <w:tc>
          <w:tcPr>
            <w:tcW w:w="1582" w:type="dxa"/>
          </w:tcPr>
          <w:p w14:paraId="1DD2AACB">
            <w:pPr>
              <w:spacing w:line="600" w:lineRule="exact"/>
              <w:jc w:val="center"/>
              <w:rPr>
                <w:rFonts w:ascii="宋体" w:hAnsi="宋体"/>
                <w:sz w:val="25"/>
                <w:szCs w:val="25"/>
              </w:rPr>
            </w:pPr>
          </w:p>
        </w:tc>
        <w:tc>
          <w:tcPr>
            <w:tcW w:w="1575" w:type="dxa"/>
          </w:tcPr>
          <w:p w14:paraId="35EEE857">
            <w:pPr>
              <w:spacing w:line="600" w:lineRule="exact"/>
              <w:jc w:val="center"/>
              <w:rPr>
                <w:rFonts w:ascii="宋体" w:hAnsi="宋体"/>
                <w:sz w:val="25"/>
                <w:szCs w:val="25"/>
              </w:rPr>
            </w:pPr>
          </w:p>
        </w:tc>
      </w:tr>
      <w:tr w14:paraId="404C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D52C33E">
            <w:pPr>
              <w:spacing w:line="600" w:lineRule="exact"/>
              <w:jc w:val="center"/>
              <w:rPr>
                <w:rFonts w:ascii="宋体" w:hAnsi="宋体"/>
                <w:sz w:val="25"/>
                <w:szCs w:val="25"/>
              </w:rPr>
            </w:pPr>
          </w:p>
        </w:tc>
        <w:tc>
          <w:tcPr>
            <w:tcW w:w="1318" w:type="dxa"/>
          </w:tcPr>
          <w:p w14:paraId="0B18ECFB">
            <w:pPr>
              <w:spacing w:line="600" w:lineRule="exact"/>
              <w:jc w:val="center"/>
              <w:rPr>
                <w:rFonts w:ascii="宋体" w:hAnsi="宋体"/>
                <w:sz w:val="25"/>
                <w:szCs w:val="25"/>
              </w:rPr>
            </w:pPr>
          </w:p>
        </w:tc>
        <w:tc>
          <w:tcPr>
            <w:tcW w:w="842" w:type="dxa"/>
          </w:tcPr>
          <w:p w14:paraId="56480949">
            <w:pPr>
              <w:spacing w:line="600" w:lineRule="exact"/>
              <w:jc w:val="center"/>
              <w:rPr>
                <w:rFonts w:ascii="宋体" w:hAnsi="宋体"/>
                <w:sz w:val="25"/>
                <w:szCs w:val="25"/>
              </w:rPr>
            </w:pPr>
          </w:p>
        </w:tc>
        <w:tc>
          <w:tcPr>
            <w:tcW w:w="816" w:type="dxa"/>
          </w:tcPr>
          <w:p w14:paraId="249926E3">
            <w:pPr>
              <w:spacing w:line="600" w:lineRule="exact"/>
              <w:jc w:val="center"/>
              <w:rPr>
                <w:rFonts w:ascii="宋体" w:hAnsi="宋体"/>
                <w:sz w:val="25"/>
                <w:szCs w:val="25"/>
              </w:rPr>
            </w:pPr>
          </w:p>
        </w:tc>
        <w:tc>
          <w:tcPr>
            <w:tcW w:w="984" w:type="dxa"/>
          </w:tcPr>
          <w:p w14:paraId="2275A57D">
            <w:pPr>
              <w:spacing w:line="600" w:lineRule="exact"/>
              <w:jc w:val="center"/>
              <w:rPr>
                <w:rFonts w:ascii="宋体" w:hAnsi="宋体"/>
                <w:sz w:val="25"/>
                <w:szCs w:val="25"/>
              </w:rPr>
            </w:pPr>
          </w:p>
        </w:tc>
        <w:tc>
          <w:tcPr>
            <w:tcW w:w="816" w:type="dxa"/>
          </w:tcPr>
          <w:p w14:paraId="165A69C8">
            <w:pPr>
              <w:spacing w:line="600" w:lineRule="exact"/>
              <w:jc w:val="center"/>
              <w:rPr>
                <w:rFonts w:ascii="宋体" w:hAnsi="宋体"/>
                <w:sz w:val="25"/>
                <w:szCs w:val="25"/>
              </w:rPr>
            </w:pPr>
          </w:p>
        </w:tc>
        <w:tc>
          <w:tcPr>
            <w:tcW w:w="1582" w:type="dxa"/>
          </w:tcPr>
          <w:p w14:paraId="2598C811">
            <w:pPr>
              <w:spacing w:line="600" w:lineRule="exact"/>
              <w:jc w:val="center"/>
              <w:rPr>
                <w:rFonts w:ascii="宋体" w:hAnsi="宋体"/>
                <w:sz w:val="25"/>
                <w:szCs w:val="25"/>
              </w:rPr>
            </w:pPr>
          </w:p>
        </w:tc>
        <w:tc>
          <w:tcPr>
            <w:tcW w:w="1575" w:type="dxa"/>
          </w:tcPr>
          <w:p w14:paraId="714006AB">
            <w:pPr>
              <w:spacing w:line="600" w:lineRule="exact"/>
              <w:jc w:val="center"/>
              <w:rPr>
                <w:rFonts w:ascii="宋体" w:hAnsi="宋体"/>
                <w:sz w:val="25"/>
                <w:szCs w:val="25"/>
              </w:rPr>
            </w:pPr>
          </w:p>
        </w:tc>
      </w:tr>
      <w:tr w14:paraId="49EE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D7FF8BA">
            <w:pPr>
              <w:spacing w:line="600" w:lineRule="exact"/>
              <w:jc w:val="center"/>
              <w:rPr>
                <w:rFonts w:ascii="宋体" w:hAnsi="宋体"/>
                <w:sz w:val="25"/>
                <w:szCs w:val="25"/>
              </w:rPr>
            </w:pPr>
          </w:p>
        </w:tc>
        <w:tc>
          <w:tcPr>
            <w:tcW w:w="1318" w:type="dxa"/>
          </w:tcPr>
          <w:p w14:paraId="1175EDCF">
            <w:pPr>
              <w:spacing w:line="600" w:lineRule="exact"/>
              <w:jc w:val="center"/>
              <w:rPr>
                <w:rFonts w:ascii="宋体" w:hAnsi="宋体"/>
                <w:sz w:val="25"/>
                <w:szCs w:val="25"/>
              </w:rPr>
            </w:pPr>
          </w:p>
        </w:tc>
        <w:tc>
          <w:tcPr>
            <w:tcW w:w="842" w:type="dxa"/>
          </w:tcPr>
          <w:p w14:paraId="7430E9CD">
            <w:pPr>
              <w:spacing w:line="600" w:lineRule="exact"/>
              <w:jc w:val="center"/>
              <w:rPr>
                <w:rFonts w:ascii="宋体" w:hAnsi="宋体"/>
                <w:sz w:val="25"/>
                <w:szCs w:val="25"/>
              </w:rPr>
            </w:pPr>
          </w:p>
        </w:tc>
        <w:tc>
          <w:tcPr>
            <w:tcW w:w="816" w:type="dxa"/>
          </w:tcPr>
          <w:p w14:paraId="138641E1">
            <w:pPr>
              <w:spacing w:line="600" w:lineRule="exact"/>
              <w:jc w:val="center"/>
              <w:rPr>
                <w:rFonts w:ascii="宋体" w:hAnsi="宋体"/>
                <w:sz w:val="25"/>
                <w:szCs w:val="25"/>
              </w:rPr>
            </w:pPr>
          </w:p>
        </w:tc>
        <w:tc>
          <w:tcPr>
            <w:tcW w:w="984" w:type="dxa"/>
          </w:tcPr>
          <w:p w14:paraId="209A1780">
            <w:pPr>
              <w:spacing w:line="600" w:lineRule="exact"/>
              <w:jc w:val="center"/>
              <w:rPr>
                <w:rFonts w:ascii="宋体" w:hAnsi="宋体"/>
                <w:sz w:val="25"/>
                <w:szCs w:val="25"/>
              </w:rPr>
            </w:pPr>
          </w:p>
        </w:tc>
        <w:tc>
          <w:tcPr>
            <w:tcW w:w="816" w:type="dxa"/>
          </w:tcPr>
          <w:p w14:paraId="52845D45">
            <w:pPr>
              <w:spacing w:line="600" w:lineRule="exact"/>
              <w:jc w:val="center"/>
              <w:rPr>
                <w:rFonts w:ascii="宋体" w:hAnsi="宋体"/>
                <w:sz w:val="25"/>
                <w:szCs w:val="25"/>
              </w:rPr>
            </w:pPr>
          </w:p>
        </w:tc>
        <w:tc>
          <w:tcPr>
            <w:tcW w:w="1582" w:type="dxa"/>
          </w:tcPr>
          <w:p w14:paraId="3AFAFCC1">
            <w:pPr>
              <w:spacing w:line="600" w:lineRule="exact"/>
              <w:jc w:val="center"/>
              <w:rPr>
                <w:rFonts w:ascii="宋体" w:hAnsi="宋体"/>
                <w:sz w:val="25"/>
                <w:szCs w:val="25"/>
              </w:rPr>
            </w:pPr>
          </w:p>
        </w:tc>
        <w:tc>
          <w:tcPr>
            <w:tcW w:w="1575" w:type="dxa"/>
          </w:tcPr>
          <w:p w14:paraId="49BF460A">
            <w:pPr>
              <w:spacing w:line="600" w:lineRule="exact"/>
              <w:jc w:val="center"/>
              <w:rPr>
                <w:rFonts w:ascii="宋体" w:hAnsi="宋体"/>
                <w:sz w:val="25"/>
                <w:szCs w:val="25"/>
              </w:rPr>
            </w:pPr>
          </w:p>
        </w:tc>
      </w:tr>
      <w:tr w14:paraId="72E2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DD44D6">
            <w:pPr>
              <w:spacing w:line="600" w:lineRule="exact"/>
              <w:jc w:val="center"/>
              <w:rPr>
                <w:rFonts w:ascii="宋体" w:hAnsi="宋体"/>
                <w:sz w:val="25"/>
                <w:szCs w:val="25"/>
              </w:rPr>
            </w:pPr>
          </w:p>
        </w:tc>
        <w:tc>
          <w:tcPr>
            <w:tcW w:w="1318" w:type="dxa"/>
          </w:tcPr>
          <w:p w14:paraId="2EA6A521">
            <w:pPr>
              <w:spacing w:line="600" w:lineRule="exact"/>
              <w:jc w:val="center"/>
              <w:rPr>
                <w:rFonts w:ascii="宋体" w:hAnsi="宋体"/>
                <w:sz w:val="25"/>
                <w:szCs w:val="25"/>
              </w:rPr>
            </w:pPr>
          </w:p>
        </w:tc>
        <w:tc>
          <w:tcPr>
            <w:tcW w:w="842" w:type="dxa"/>
          </w:tcPr>
          <w:p w14:paraId="4A199F3B">
            <w:pPr>
              <w:spacing w:line="600" w:lineRule="exact"/>
              <w:jc w:val="center"/>
              <w:rPr>
                <w:rFonts w:ascii="宋体" w:hAnsi="宋体"/>
                <w:sz w:val="25"/>
                <w:szCs w:val="25"/>
              </w:rPr>
            </w:pPr>
          </w:p>
        </w:tc>
        <w:tc>
          <w:tcPr>
            <w:tcW w:w="816" w:type="dxa"/>
          </w:tcPr>
          <w:p w14:paraId="53FE75C5">
            <w:pPr>
              <w:spacing w:line="600" w:lineRule="exact"/>
              <w:jc w:val="center"/>
              <w:rPr>
                <w:rFonts w:ascii="宋体" w:hAnsi="宋体"/>
                <w:sz w:val="25"/>
                <w:szCs w:val="25"/>
              </w:rPr>
            </w:pPr>
          </w:p>
        </w:tc>
        <w:tc>
          <w:tcPr>
            <w:tcW w:w="984" w:type="dxa"/>
          </w:tcPr>
          <w:p w14:paraId="63F8F083">
            <w:pPr>
              <w:spacing w:line="600" w:lineRule="exact"/>
              <w:jc w:val="center"/>
              <w:rPr>
                <w:rFonts w:ascii="宋体" w:hAnsi="宋体"/>
                <w:sz w:val="25"/>
                <w:szCs w:val="25"/>
              </w:rPr>
            </w:pPr>
          </w:p>
        </w:tc>
        <w:tc>
          <w:tcPr>
            <w:tcW w:w="816" w:type="dxa"/>
          </w:tcPr>
          <w:p w14:paraId="602FCBA5">
            <w:pPr>
              <w:spacing w:line="600" w:lineRule="exact"/>
              <w:jc w:val="center"/>
              <w:rPr>
                <w:rFonts w:ascii="宋体" w:hAnsi="宋体"/>
                <w:sz w:val="25"/>
                <w:szCs w:val="25"/>
              </w:rPr>
            </w:pPr>
          </w:p>
        </w:tc>
        <w:tc>
          <w:tcPr>
            <w:tcW w:w="1582" w:type="dxa"/>
          </w:tcPr>
          <w:p w14:paraId="24A47506">
            <w:pPr>
              <w:spacing w:line="600" w:lineRule="exact"/>
              <w:jc w:val="center"/>
              <w:rPr>
                <w:rFonts w:ascii="宋体" w:hAnsi="宋体"/>
                <w:sz w:val="25"/>
                <w:szCs w:val="25"/>
              </w:rPr>
            </w:pPr>
          </w:p>
        </w:tc>
        <w:tc>
          <w:tcPr>
            <w:tcW w:w="1575" w:type="dxa"/>
          </w:tcPr>
          <w:p w14:paraId="542A393A">
            <w:pPr>
              <w:spacing w:line="600" w:lineRule="exact"/>
              <w:jc w:val="center"/>
              <w:rPr>
                <w:rFonts w:ascii="宋体" w:hAnsi="宋体"/>
                <w:sz w:val="25"/>
                <w:szCs w:val="25"/>
              </w:rPr>
            </w:pPr>
          </w:p>
        </w:tc>
      </w:tr>
      <w:tr w14:paraId="3B9C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C22462B">
            <w:pPr>
              <w:spacing w:line="600" w:lineRule="exact"/>
              <w:jc w:val="center"/>
              <w:rPr>
                <w:rFonts w:ascii="宋体" w:hAnsi="宋体"/>
                <w:sz w:val="25"/>
                <w:szCs w:val="25"/>
              </w:rPr>
            </w:pPr>
          </w:p>
        </w:tc>
        <w:tc>
          <w:tcPr>
            <w:tcW w:w="1318" w:type="dxa"/>
          </w:tcPr>
          <w:p w14:paraId="79EAD3AF">
            <w:pPr>
              <w:spacing w:line="600" w:lineRule="exact"/>
              <w:jc w:val="center"/>
              <w:rPr>
                <w:rFonts w:ascii="宋体" w:hAnsi="宋体"/>
                <w:sz w:val="25"/>
                <w:szCs w:val="25"/>
              </w:rPr>
            </w:pPr>
          </w:p>
        </w:tc>
        <w:tc>
          <w:tcPr>
            <w:tcW w:w="842" w:type="dxa"/>
          </w:tcPr>
          <w:p w14:paraId="40C7C85A">
            <w:pPr>
              <w:spacing w:line="600" w:lineRule="exact"/>
              <w:jc w:val="center"/>
              <w:rPr>
                <w:rFonts w:ascii="宋体" w:hAnsi="宋体"/>
                <w:sz w:val="25"/>
                <w:szCs w:val="25"/>
              </w:rPr>
            </w:pPr>
          </w:p>
        </w:tc>
        <w:tc>
          <w:tcPr>
            <w:tcW w:w="816" w:type="dxa"/>
          </w:tcPr>
          <w:p w14:paraId="4B5DEE33">
            <w:pPr>
              <w:spacing w:line="600" w:lineRule="exact"/>
              <w:jc w:val="center"/>
              <w:rPr>
                <w:rFonts w:ascii="宋体" w:hAnsi="宋体"/>
                <w:sz w:val="25"/>
                <w:szCs w:val="25"/>
              </w:rPr>
            </w:pPr>
          </w:p>
        </w:tc>
        <w:tc>
          <w:tcPr>
            <w:tcW w:w="984" w:type="dxa"/>
          </w:tcPr>
          <w:p w14:paraId="6D87FBA2">
            <w:pPr>
              <w:spacing w:line="600" w:lineRule="exact"/>
              <w:jc w:val="center"/>
              <w:rPr>
                <w:rFonts w:ascii="宋体" w:hAnsi="宋体"/>
                <w:sz w:val="25"/>
                <w:szCs w:val="25"/>
              </w:rPr>
            </w:pPr>
          </w:p>
        </w:tc>
        <w:tc>
          <w:tcPr>
            <w:tcW w:w="816" w:type="dxa"/>
          </w:tcPr>
          <w:p w14:paraId="14CD5F47">
            <w:pPr>
              <w:spacing w:line="600" w:lineRule="exact"/>
              <w:jc w:val="center"/>
              <w:rPr>
                <w:rFonts w:ascii="宋体" w:hAnsi="宋体"/>
                <w:sz w:val="25"/>
                <w:szCs w:val="25"/>
              </w:rPr>
            </w:pPr>
          </w:p>
        </w:tc>
        <w:tc>
          <w:tcPr>
            <w:tcW w:w="1582" w:type="dxa"/>
          </w:tcPr>
          <w:p w14:paraId="25CCF026">
            <w:pPr>
              <w:spacing w:line="600" w:lineRule="exact"/>
              <w:jc w:val="center"/>
              <w:rPr>
                <w:rFonts w:ascii="宋体" w:hAnsi="宋体"/>
                <w:sz w:val="25"/>
                <w:szCs w:val="25"/>
              </w:rPr>
            </w:pPr>
          </w:p>
        </w:tc>
        <w:tc>
          <w:tcPr>
            <w:tcW w:w="1575" w:type="dxa"/>
          </w:tcPr>
          <w:p w14:paraId="4225B4FA">
            <w:pPr>
              <w:spacing w:line="600" w:lineRule="exact"/>
              <w:jc w:val="center"/>
              <w:rPr>
                <w:rFonts w:ascii="宋体" w:hAnsi="宋体"/>
                <w:sz w:val="25"/>
                <w:szCs w:val="25"/>
              </w:rPr>
            </w:pPr>
          </w:p>
        </w:tc>
      </w:tr>
      <w:tr w14:paraId="799F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39DE229">
            <w:pPr>
              <w:spacing w:line="600" w:lineRule="exact"/>
              <w:jc w:val="center"/>
              <w:rPr>
                <w:rFonts w:ascii="宋体" w:hAnsi="宋体"/>
                <w:sz w:val="25"/>
                <w:szCs w:val="25"/>
              </w:rPr>
            </w:pPr>
          </w:p>
        </w:tc>
        <w:tc>
          <w:tcPr>
            <w:tcW w:w="1318" w:type="dxa"/>
          </w:tcPr>
          <w:p w14:paraId="5AF9EBC6">
            <w:pPr>
              <w:spacing w:line="600" w:lineRule="exact"/>
              <w:jc w:val="center"/>
              <w:rPr>
                <w:rFonts w:ascii="宋体" w:hAnsi="宋体"/>
                <w:sz w:val="25"/>
                <w:szCs w:val="25"/>
              </w:rPr>
            </w:pPr>
          </w:p>
        </w:tc>
        <w:tc>
          <w:tcPr>
            <w:tcW w:w="842" w:type="dxa"/>
          </w:tcPr>
          <w:p w14:paraId="40D70391">
            <w:pPr>
              <w:spacing w:line="600" w:lineRule="exact"/>
              <w:jc w:val="center"/>
              <w:rPr>
                <w:rFonts w:ascii="宋体" w:hAnsi="宋体"/>
                <w:sz w:val="25"/>
                <w:szCs w:val="25"/>
              </w:rPr>
            </w:pPr>
          </w:p>
        </w:tc>
        <w:tc>
          <w:tcPr>
            <w:tcW w:w="816" w:type="dxa"/>
          </w:tcPr>
          <w:p w14:paraId="13B09617">
            <w:pPr>
              <w:spacing w:line="600" w:lineRule="exact"/>
              <w:jc w:val="center"/>
              <w:rPr>
                <w:rFonts w:ascii="宋体" w:hAnsi="宋体"/>
                <w:sz w:val="25"/>
                <w:szCs w:val="25"/>
              </w:rPr>
            </w:pPr>
          </w:p>
        </w:tc>
        <w:tc>
          <w:tcPr>
            <w:tcW w:w="984" w:type="dxa"/>
          </w:tcPr>
          <w:p w14:paraId="787A9D9C">
            <w:pPr>
              <w:spacing w:line="600" w:lineRule="exact"/>
              <w:jc w:val="center"/>
              <w:rPr>
                <w:rFonts w:ascii="宋体" w:hAnsi="宋体"/>
                <w:sz w:val="25"/>
                <w:szCs w:val="25"/>
              </w:rPr>
            </w:pPr>
          </w:p>
        </w:tc>
        <w:tc>
          <w:tcPr>
            <w:tcW w:w="816" w:type="dxa"/>
          </w:tcPr>
          <w:p w14:paraId="12FD5ECA">
            <w:pPr>
              <w:spacing w:line="600" w:lineRule="exact"/>
              <w:jc w:val="center"/>
              <w:rPr>
                <w:rFonts w:ascii="宋体" w:hAnsi="宋体"/>
                <w:sz w:val="25"/>
                <w:szCs w:val="25"/>
              </w:rPr>
            </w:pPr>
          </w:p>
        </w:tc>
        <w:tc>
          <w:tcPr>
            <w:tcW w:w="1582" w:type="dxa"/>
          </w:tcPr>
          <w:p w14:paraId="1D2A1B44">
            <w:pPr>
              <w:spacing w:line="600" w:lineRule="exact"/>
              <w:jc w:val="center"/>
              <w:rPr>
                <w:rFonts w:ascii="宋体" w:hAnsi="宋体"/>
                <w:sz w:val="25"/>
                <w:szCs w:val="25"/>
              </w:rPr>
            </w:pPr>
          </w:p>
        </w:tc>
        <w:tc>
          <w:tcPr>
            <w:tcW w:w="1575" w:type="dxa"/>
          </w:tcPr>
          <w:p w14:paraId="7364B5CC">
            <w:pPr>
              <w:spacing w:line="600" w:lineRule="exact"/>
              <w:jc w:val="center"/>
              <w:rPr>
                <w:rFonts w:ascii="宋体" w:hAnsi="宋体"/>
                <w:sz w:val="25"/>
                <w:szCs w:val="25"/>
              </w:rPr>
            </w:pPr>
          </w:p>
        </w:tc>
      </w:tr>
      <w:tr w14:paraId="4A2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120AC3D">
            <w:pPr>
              <w:spacing w:line="600" w:lineRule="exact"/>
              <w:jc w:val="center"/>
              <w:rPr>
                <w:rFonts w:ascii="宋体" w:hAnsi="宋体"/>
                <w:sz w:val="25"/>
                <w:szCs w:val="25"/>
              </w:rPr>
            </w:pPr>
          </w:p>
        </w:tc>
        <w:tc>
          <w:tcPr>
            <w:tcW w:w="1318" w:type="dxa"/>
          </w:tcPr>
          <w:p w14:paraId="0D7C828B">
            <w:pPr>
              <w:spacing w:line="600" w:lineRule="exact"/>
              <w:jc w:val="center"/>
              <w:rPr>
                <w:rFonts w:ascii="宋体" w:hAnsi="宋体"/>
                <w:sz w:val="25"/>
                <w:szCs w:val="25"/>
              </w:rPr>
            </w:pPr>
          </w:p>
        </w:tc>
        <w:tc>
          <w:tcPr>
            <w:tcW w:w="842" w:type="dxa"/>
          </w:tcPr>
          <w:p w14:paraId="7CA8D500">
            <w:pPr>
              <w:spacing w:line="600" w:lineRule="exact"/>
              <w:jc w:val="center"/>
              <w:rPr>
                <w:rFonts w:ascii="宋体" w:hAnsi="宋体"/>
                <w:sz w:val="25"/>
                <w:szCs w:val="25"/>
              </w:rPr>
            </w:pPr>
          </w:p>
        </w:tc>
        <w:tc>
          <w:tcPr>
            <w:tcW w:w="816" w:type="dxa"/>
          </w:tcPr>
          <w:p w14:paraId="74005E47">
            <w:pPr>
              <w:spacing w:line="600" w:lineRule="exact"/>
              <w:jc w:val="center"/>
              <w:rPr>
                <w:rFonts w:ascii="宋体" w:hAnsi="宋体"/>
                <w:sz w:val="25"/>
                <w:szCs w:val="25"/>
              </w:rPr>
            </w:pPr>
          </w:p>
        </w:tc>
        <w:tc>
          <w:tcPr>
            <w:tcW w:w="984" w:type="dxa"/>
          </w:tcPr>
          <w:p w14:paraId="4D2DBE9B">
            <w:pPr>
              <w:spacing w:line="600" w:lineRule="exact"/>
              <w:jc w:val="center"/>
              <w:rPr>
                <w:rFonts w:ascii="宋体" w:hAnsi="宋体"/>
                <w:sz w:val="25"/>
                <w:szCs w:val="25"/>
              </w:rPr>
            </w:pPr>
          </w:p>
        </w:tc>
        <w:tc>
          <w:tcPr>
            <w:tcW w:w="816" w:type="dxa"/>
          </w:tcPr>
          <w:p w14:paraId="6EF6210A">
            <w:pPr>
              <w:spacing w:line="600" w:lineRule="exact"/>
              <w:jc w:val="center"/>
              <w:rPr>
                <w:rFonts w:ascii="宋体" w:hAnsi="宋体"/>
                <w:sz w:val="25"/>
                <w:szCs w:val="25"/>
              </w:rPr>
            </w:pPr>
          </w:p>
        </w:tc>
        <w:tc>
          <w:tcPr>
            <w:tcW w:w="1582" w:type="dxa"/>
          </w:tcPr>
          <w:p w14:paraId="735E6993">
            <w:pPr>
              <w:spacing w:line="600" w:lineRule="exact"/>
              <w:jc w:val="center"/>
              <w:rPr>
                <w:rFonts w:ascii="宋体" w:hAnsi="宋体"/>
                <w:sz w:val="25"/>
                <w:szCs w:val="25"/>
              </w:rPr>
            </w:pPr>
          </w:p>
        </w:tc>
        <w:tc>
          <w:tcPr>
            <w:tcW w:w="1575" w:type="dxa"/>
          </w:tcPr>
          <w:p w14:paraId="080530CE">
            <w:pPr>
              <w:spacing w:line="600" w:lineRule="exact"/>
              <w:jc w:val="center"/>
              <w:rPr>
                <w:rFonts w:ascii="宋体" w:hAnsi="宋体"/>
                <w:sz w:val="25"/>
                <w:szCs w:val="25"/>
              </w:rPr>
            </w:pPr>
          </w:p>
        </w:tc>
      </w:tr>
      <w:tr w14:paraId="103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1E20B52">
            <w:pPr>
              <w:spacing w:line="600" w:lineRule="exact"/>
              <w:jc w:val="center"/>
              <w:rPr>
                <w:rFonts w:ascii="宋体" w:hAnsi="宋体"/>
                <w:sz w:val="25"/>
                <w:szCs w:val="25"/>
              </w:rPr>
            </w:pPr>
          </w:p>
        </w:tc>
        <w:tc>
          <w:tcPr>
            <w:tcW w:w="1318" w:type="dxa"/>
          </w:tcPr>
          <w:p w14:paraId="37D927E0">
            <w:pPr>
              <w:spacing w:line="600" w:lineRule="exact"/>
              <w:jc w:val="center"/>
              <w:rPr>
                <w:rFonts w:ascii="宋体" w:hAnsi="宋体"/>
                <w:sz w:val="25"/>
                <w:szCs w:val="25"/>
              </w:rPr>
            </w:pPr>
          </w:p>
        </w:tc>
        <w:tc>
          <w:tcPr>
            <w:tcW w:w="842" w:type="dxa"/>
          </w:tcPr>
          <w:p w14:paraId="20DB831C">
            <w:pPr>
              <w:spacing w:line="600" w:lineRule="exact"/>
              <w:jc w:val="center"/>
              <w:rPr>
                <w:rFonts w:ascii="宋体" w:hAnsi="宋体"/>
                <w:sz w:val="25"/>
                <w:szCs w:val="25"/>
              </w:rPr>
            </w:pPr>
          </w:p>
        </w:tc>
        <w:tc>
          <w:tcPr>
            <w:tcW w:w="816" w:type="dxa"/>
          </w:tcPr>
          <w:p w14:paraId="20418EA2">
            <w:pPr>
              <w:spacing w:line="600" w:lineRule="exact"/>
              <w:jc w:val="center"/>
              <w:rPr>
                <w:rFonts w:ascii="宋体" w:hAnsi="宋体"/>
                <w:sz w:val="25"/>
                <w:szCs w:val="25"/>
              </w:rPr>
            </w:pPr>
          </w:p>
        </w:tc>
        <w:tc>
          <w:tcPr>
            <w:tcW w:w="984" w:type="dxa"/>
          </w:tcPr>
          <w:p w14:paraId="0E099EF1">
            <w:pPr>
              <w:spacing w:line="600" w:lineRule="exact"/>
              <w:jc w:val="center"/>
              <w:rPr>
                <w:rFonts w:ascii="宋体" w:hAnsi="宋体"/>
                <w:sz w:val="25"/>
                <w:szCs w:val="25"/>
              </w:rPr>
            </w:pPr>
          </w:p>
        </w:tc>
        <w:tc>
          <w:tcPr>
            <w:tcW w:w="816" w:type="dxa"/>
          </w:tcPr>
          <w:p w14:paraId="22233EF9">
            <w:pPr>
              <w:spacing w:line="600" w:lineRule="exact"/>
              <w:jc w:val="center"/>
              <w:rPr>
                <w:rFonts w:ascii="宋体" w:hAnsi="宋体"/>
                <w:sz w:val="25"/>
                <w:szCs w:val="25"/>
              </w:rPr>
            </w:pPr>
          </w:p>
        </w:tc>
        <w:tc>
          <w:tcPr>
            <w:tcW w:w="1582" w:type="dxa"/>
          </w:tcPr>
          <w:p w14:paraId="3D338B82">
            <w:pPr>
              <w:spacing w:line="600" w:lineRule="exact"/>
              <w:jc w:val="center"/>
              <w:rPr>
                <w:rFonts w:ascii="宋体" w:hAnsi="宋体"/>
                <w:sz w:val="25"/>
                <w:szCs w:val="25"/>
              </w:rPr>
            </w:pPr>
          </w:p>
        </w:tc>
        <w:tc>
          <w:tcPr>
            <w:tcW w:w="1575" w:type="dxa"/>
          </w:tcPr>
          <w:p w14:paraId="7D7BC4C7">
            <w:pPr>
              <w:spacing w:line="600" w:lineRule="exact"/>
              <w:jc w:val="center"/>
              <w:rPr>
                <w:rFonts w:ascii="宋体" w:hAnsi="宋体"/>
                <w:sz w:val="25"/>
                <w:szCs w:val="25"/>
              </w:rPr>
            </w:pPr>
          </w:p>
        </w:tc>
      </w:tr>
    </w:tbl>
    <w:p w14:paraId="753139AC">
      <w:pPr>
        <w:spacing w:line="480" w:lineRule="exact"/>
        <w:rPr>
          <w:rFonts w:ascii="宋体" w:hAnsi="宋体"/>
          <w:b/>
          <w:bCs/>
          <w:sz w:val="25"/>
          <w:szCs w:val="25"/>
        </w:rPr>
      </w:pPr>
      <w:r>
        <w:rPr>
          <w:rFonts w:hint="eastAsia" w:ascii="宋体" w:hAnsi="宋体"/>
          <w:b/>
          <w:bCs/>
          <w:sz w:val="25"/>
          <w:szCs w:val="25"/>
          <w:highlight w:val="yellow"/>
        </w:rPr>
        <w:t>注：附中标后不变更上述人员的承诺书。</w:t>
      </w:r>
    </w:p>
    <w:p w14:paraId="7C7E7E4E">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1BC07C3C">
      <w:pPr>
        <w:spacing w:line="360" w:lineRule="auto"/>
        <w:rPr>
          <w:rFonts w:ascii="宋体" w:hAnsi="宋体"/>
          <w:kern w:val="0"/>
          <w:sz w:val="25"/>
          <w:szCs w:val="25"/>
          <w:u w:val="single"/>
        </w:rPr>
      </w:pPr>
      <w:r>
        <w:rPr>
          <w:rFonts w:hint="eastAsia" w:ascii="宋体" w:hAnsi="宋体"/>
          <w:kern w:val="0"/>
          <w:sz w:val="25"/>
          <w:szCs w:val="25"/>
        </w:rPr>
        <w:t>律所负责人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426AD40D">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1755D0CA">
      <w:pPr>
        <w:spacing w:line="360" w:lineRule="auto"/>
        <w:jc w:val="left"/>
        <w:rPr>
          <w:rFonts w:ascii="宋体" w:hAnsi="宋体"/>
          <w:sz w:val="25"/>
          <w:szCs w:val="25"/>
        </w:rPr>
      </w:pPr>
    </w:p>
    <w:p w14:paraId="52379598">
      <w:pPr>
        <w:spacing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拟任项目负责人资格证书：</w:t>
      </w:r>
    </w:p>
    <w:p w14:paraId="3972DB9C">
      <w:pPr>
        <w:spacing w:line="360" w:lineRule="auto"/>
        <w:jc w:val="left"/>
        <w:rPr>
          <w:rFonts w:ascii="仿宋_GB2312" w:hAnsi="仿宋_GB2312" w:eastAsia="仿宋_GB2312" w:cs="仿宋_GB2312"/>
          <w:b/>
          <w:sz w:val="28"/>
          <w:szCs w:val="28"/>
        </w:rPr>
      </w:pPr>
    </w:p>
    <w:p w14:paraId="065FBF06">
      <w:pPr>
        <w:spacing w:line="360" w:lineRule="auto"/>
        <w:jc w:val="left"/>
        <w:rPr>
          <w:rFonts w:ascii="仿宋_GB2312" w:hAnsi="仿宋_GB2312" w:eastAsia="仿宋_GB2312" w:cs="仿宋_GB2312"/>
          <w:b/>
          <w:sz w:val="28"/>
          <w:szCs w:val="28"/>
        </w:rPr>
      </w:pPr>
    </w:p>
    <w:p w14:paraId="22300A5F">
      <w:pPr>
        <w:rPr>
          <w:rFonts w:ascii="仿宋_GB2312" w:eastAsia="仿宋_GB2312"/>
          <w:sz w:val="32"/>
          <w:szCs w:val="32"/>
        </w:rPr>
      </w:pPr>
      <w:r>
        <w:rPr>
          <w:rFonts w:hint="eastAsia" w:ascii="仿宋_GB2312" w:eastAsia="仿宋_GB2312"/>
          <w:sz w:val="32"/>
          <w:szCs w:val="32"/>
        </w:rPr>
        <w:t>附件6</w:t>
      </w:r>
    </w:p>
    <w:p w14:paraId="280A930A">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38B7A6C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885BFF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3E232061">
      <w:pPr>
        <w:spacing w:line="360" w:lineRule="auto"/>
        <w:ind w:firstLine="600" w:firstLineChars="200"/>
        <w:outlineLvl w:val="2"/>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649E1090">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（2）单位、律所负责人或拟派项目经理（项目负责人）被人民检察院列入行贿犯罪档案；</w:t>
      </w:r>
    </w:p>
    <w:p w14:paraId="1EEE50A9">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37992FE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0ACF4F7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4E294C7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216689AF">
      <w:pPr>
        <w:spacing w:line="360" w:lineRule="auto"/>
        <w:ind w:firstLine="4200" w:firstLineChars="14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75BCB0FF">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62DF3034">
      <w:pPr>
        <w:rPr>
          <w:rFonts w:ascii="仿宋_GB2312" w:eastAsia="仿宋_GB2312"/>
          <w:sz w:val="32"/>
          <w:szCs w:val="32"/>
        </w:rPr>
      </w:pPr>
    </w:p>
    <w:p w14:paraId="2749279D">
      <w:pPr>
        <w:pStyle w:val="9"/>
        <w:widowControl/>
        <w:spacing w:after="150"/>
        <w:rPr>
          <w:rFonts w:ascii="仿宋_GB2312" w:hAnsi="仿宋_GB2312" w:eastAsia="仿宋_GB2312" w:cs="仿宋_GB2312"/>
          <w:sz w:val="32"/>
          <w:szCs w:val="32"/>
          <w:lang w:bidi="ar"/>
        </w:rPr>
      </w:pPr>
    </w:p>
    <w:p w14:paraId="3C817B04">
      <w:pPr>
        <w:pStyle w:val="9"/>
        <w:widowControl/>
        <w:spacing w:after="150"/>
        <w:outlineLvl w:val="3"/>
        <w:rPr>
          <w:rFonts w:ascii="仿宋_GB2312" w:eastAsia="仿宋_GB2312"/>
          <w:sz w:val="32"/>
          <w:szCs w:val="32"/>
        </w:rPr>
      </w:pPr>
      <w:r>
        <w:rPr>
          <w:rFonts w:hint="eastAsia" w:ascii="仿宋_GB2312" w:hAnsi="仿宋_GB2312" w:eastAsia="仿宋_GB2312" w:cs="仿宋_GB2312"/>
          <w:sz w:val="32"/>
          <w:szCs w:val="32"/>
          <w:lang w:bidi="ar"/>
        </w:rPr>
        <w:t>附件7</w:t>
      </w:r>
      <w:r>
        <w:rPr>
          <w:rFonts w:hint="eastAsia" w:ascii="仿宋_GB2312" w:hAnsi="仿宋_GB2312" w:eastAsia="仿宋_GB2312" w:cs="仿宋_GB2312"/>
          <w:b/>
          <w:sz w:val="32"/>
          <w:szCs w:val="32"/>
          <w:lang w:bidi="ar"/>
        </w:rPr>
        <w:t>详细评审表</w:t>
      </w:r>
    </w:p>
    <w:tbl>
      <w:tblPr>
        <w:tblStyle w:val="11"/>
        <w:tblW w:w="8313" w:type="dxa"/>
        <w:jc w:val="center"/>
        <w:tblLayout w:type="autofit"/>
        <w:tblCellMar>
          <w:top w:w="0" w:type="dxa"/>
          <w:left w:w="108" w:type="dxa"/>
          <w:bottom w:w="0" w:type="dxa"/>
          <w:right w:w="108" w:type="dxa"/>
        </w:tblCellMar>
      </w:tblPr>
      <w:tblGrid>
        <w:gridCol w:w="1195"/>
        <w:gridCol w:w="1050"/>
        <w:gridCol w:w="4539"/>
        <w:gridCol w:w="1529"/>
      </w:tblGrid>
      <w:tr w14:paraId="5462256E">
        <w:tblPrEx>
          <w:tblCellMar>
            <w:top w:w="0" w:type="dxa"/>
            <w:left w:w="108" w:type="dxa"/>
            <w:bottom w:w="0" w:type="dxa"/>
            <w:right w:w="108" w:type="dxa"/>
          </w:tblCellMar>
        </w:tblPrEx>
        <w:trPr>
          <w:trHeight w:val="400" w:hRule="atLeast"/>
          <w:jc w:val="center"/>
        </w:trPr>
        <w:tc>
          <w:tcPr>
            <w:tcW w:w="1195" w:type="dxa"/>
            <w:vMerge w:val="restart"/>
            <w:tcBorders>
              <w:top w:val="single" w:color="000000" w:sz="4" w:space="0"/>
              <w:left w:val="single" w:color="000000" w:sz="4" w:space="0"/>
              <w:bottom w:val="nil"/>
              <w:right w:val="single" w:color="000000" w:sz="4" w:space="0"/>
            </w:tcBorders>
            <w:shd w:val="clear" w:color="auto" w:fill="auto"/>
            <w:vAlign w:val="center"/>
          </w:tcPr>
          <w:p w14:paraId="4E591F2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类 别</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4C0CAE5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指  标</w:t>
            </w:r>
          </w:p>
        </w:tc>
        <w:tc>
          <w:tcPr>
            <w:tcW w:w="4539" w:type="dxa"/>
            <w:vMerge w:val="restart"/>
            <w:tcBorders>
              <w:top w:val="single" w:color="000000" w:sz="4" w:space="0"/>
              <w:left w:val="single" w:color="000000" w:sz="4" w:space="0"/>
              <w:bottom w:val="nil"/>
              <w:right w:val="single" w:color="000000" w:sz="4" w:space="0"/>
            </w:tcBorders>
            <w:shd w:val="clear" w:color="auto" w:fill="auto"/>
            <w:vAlign w:val="center"/>
          </w:tcPr>
          <w:p w14:paraId="1D89795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指标描述</w:t>
            </w:r>
          </w:p>
        </w:tc>
        <w:tc>
          <w:tcPr>
            <w:tcW w:w="1529" w:type="dxa"/>
            <w:vMerge w:val="restart"/>
            <w:tcBorders>
              <w:top w:val="single" w:color="000000" w:sz="4" w:space="0"/>
              <w:left w:val="single" w:color="000000" w:sz="4" w:space="0"/>
              <w:bottom w:val="nil"/>
              <w:right w:val="single" w:color="000000" w:sz="4" w:space="0"/>
            </w:tcBorders>
            <w:shd w:val="clear" w:color="auto" w:fill="auto"/>
            <w:vAlign w:val="center"/>
          </w:tcPr>
          <w:p w14:paraId="3E01568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分值范围</w:t>
            </w:r>
          </w:p>
        </w:tc>
      </w:tr>
      <w:tr w14:paraId="5E6A0F54">
        <w:tblPrEx>
          <w:tblCellMar>
            <w:top w:w="0" w:type="dxa"/>
            <w:left w:w="108" w:type="dxa"/>
            <w:bottom w:w="0" w:type="dxa"/>
            <w:right w:w="108" w:type="dxa"/>
          </w:tblCellMar>
        </w:tblPrEx>
        <w:trPr>
          <w:trHeight w:val="400" w:hRule="atLeast"/>
          <w:jc w:val="center"/>
        </w:trPr>
        <w:tc>
          <w:tcPr>
            <w:tcW w:w="1195" w:type="dxa"/>
            <w:vMerge w:val="continue"/>
            <w:tcBorders>
              <w:top w:val="single" w:color="000000" w:sz="4" w:space="0"/>
              <w:left w:val="single" w:color="000000" w:sz="4" w:space="0"/>
              <w:bottom w:val="nil"/>
              <w:right w:val="single" w:color="000000" w:sz="4" w:space="0"/>
            </w:tcBorders>
            <w:shd w:val="clear" w:color="auto" w:fill="auto"/>
            <w:vAlign w:val="center"/>
          </w:tcPr>
          <w:p w14:paraId="5442CE5E">
            <w:pPr>
              <w:jc w:val="center"/>
              <w:rPr>
                <w:rFonts w:ascii="仿宋" w:hAnsi="仿宋" w:eastAsia="仿宋" w:cs="仿宋"/>
                <w:b/>
                <w:bCs/>
                <w:color w:val="000000"/>
                <w:sz w:val="20"/>
                <w:szCs w:val="20"/>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1F3CB16">
            <w:pPr>
              <w:jc w:val="center"/>
              <w:rPr>
                <w:rFonts w:ascii="仿宋" w:hAnsi="仿宋" w:eastAsia="仿宋" w:cs="仿宋"/>
                <w:b/>
                <w:bCs/>
                <w:color w:val="000000"/>
                <w:sz w:val="20"/>
                <w:szCs w:val="20"/>
              </w:rPr>
            </w:pPr>
          </w:p>
        </w:tc>
        <w:tc>
          <w:tcPr>
            <w:tcW w:w="453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0C2C3CA">
            <w:pPr>
              <w:jc w:val="center"/>
              <w:rPr>
                <w:rFonts w:ascii="仿宋" w:hAnsi="仿宋" w:eastAsia="仿宋" w:cs="仿宋"/>
                <w:b/>
                <w:bCs/>
                <w:color w:val="000000"/>
                <w:sz w:val="20"/>
                <w:szCs w:val="20"/>
              </w:rPr>
            </w:pPr>
          </w:p>
        </w:tc>
        <w:tc>
          <w:tcPr>
            <w:tcW w:w="152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ADDEA15">
            <w:pPr>
              <w:jc w:val="center"/>
              <w:rPr>
                <w:rFonts w:ascii="仿宋" w:hAnsi="仿宋" w:eastAsia="仿宋" w:cs="仿宋"/>
                <w:b/>
                <w:bCs/>
                <w:color w:val="000000"/>
                <w:sz w:val="20"/>
                <w:szCs w:val="20"/>
              </w:rPr>
            </w:pPr>
          </w:p>
        </w:tc>
      </w:tr>
      <w:tr w14:paraId="66D101BE">
        <w:tblPrEx>
          <w:tblCellMar>
            <w:top w:w="0" w:type="dxa"/>
            <w:left w:w="108" w:type="dxa"/>
            <w:bottom w:w="0" w:type="dxa"/>
            <w:right w:w="108" w:type="dxa"/>
          </w:tblCellMar>
        </w:tblPrEx>
        <w:trPr>
          <w:trHeight w:val="1560" w:hRule="atLeast"/>
          <w:jc w:val="center"/>
        </w:trPr>
        <w:tc>
          <w:tcPr>
            <w:tcW w:w="1195" w:type="dxa"/>
            <w:vMerge w:val="restart"/>
            <w:tcBorders>
              <w:top w:val="single" w:color="000000" w:sz="4" w:space="0"/>
              <w:left w:val="single" w:color="000000" w:sz="4" w:space="0"/>
              <w:right w:val="single" w:color="auto" w:sz="4" w:space="0"/>
            </w:tcBorders>
            <w:shd w:val="clear" w:color="auto" w:fill="auto"/>
            <w:vAlign w:val="center"/>
          </w:tcPr>
          <w:p w14:paraId="25DAF258">
            <w:pPr>
              <w:widowControl/>
              <w:jc w:val="center"/>
              <w:textAlignment w:val="center"/>
              <w:rPr>
                <w:rFonts w:ascii="仿宋" w:hAnsi="仿宋" w:eastAsia="仿宋" w:cs="仿宋"/>
                <w:b/>
                <w:bCs/>
                <w:color w:val="000000"/>
                <w:kern w:val="0"/>
                <w:sz w:val="20"/>
                <w:szCs w:val="20"/>
                <w:lang w:bidi="ar"/>
              </w:rPr>
            </w:pPr>
          </w:p>
          <w:p w14:paraId="5B8FD1DD">
            <w:pPr>
              <w:widowControl/>
              <w:jc w:val="center"/>
              <w:textAlignment w:val="center"/>
              <w:rPr>
                <w:rFonts w:ascii="仿宋" w:hAnsi="仿宋" w:eastAsia="仿宋" w:cs="仿宋"/>
                <w:b/>
                <w:bCs/>
                <w:color w:val="000000"/>
                <w:kern w:val="0"/>
                <w:sz w:val="20"/>
                <w:szCs w:val="20"/>
                <w:lang w:bidi="ar"/>
              </w:rPr>
            </w:pPr>
          </w:p>
          <w:p w14:paraId="3772F875">
            <w:pPr>
              <w:widowControl/>
              <w:jc w:val="center"/>
              <w:textAlignment w:val="center"/>
              <w:rPr>
                <w:rFonts w:ascii="仿宋" w:hAnsi="仿宋" w:eastAsia="仿宋" w:cs="仿宋"/>
                <w:b/>
                <w:bCs/>
                <w:color w:val="000000"/>
                <w:kern w:val="0"/>
                <w:sz w:val="20"/>
                <w:szCs w:val="20"/>
                <w:lang w:bidi="ar"/>
              </w:rPr>
            </w:pPr>
          </w:p>
          <w:p w14:paraId="50B26CEE">
            <w:pPr>
              <w:widowControl/>
              <w:jc w:val="center"/>
              <w:textAlignment w:val="center"/>
              <w:rPr>
                <w:rFonts w:ascii="仿宋" w:hAnsi="仿宋" w:eastAsia="仿宋" w:cs="仿宋"/>
                <w:b/>
                <w:bCs/>
                <w:color w:val="000000"/>
                <w:kern w:val="0"/>
                <w:sz w:val="20"/>
                <w:szCs w:val="20"/>
                <w:lang w:bidi="ar"/>
              </w:rPr>
            </w:pPr>
          </w:p>
          <w:p w14:paraId="6809CACA">
            <w:pPr>
              <w:widowControl/>
              <w:jc w:val="center"/>
              <w:textAlignment w:val="center"/>
              <w:rPr>
                <w:rFonts w:ascii="仿宋" w:hAnsi="仿宋" w:eastAsia="仿宋" w:cs="仿宋"/>
                <w:b/>
                <w:bCs/>
                <w:color w:val="000000"/>
                <w:kern w:val="0"/>
                <w:sz w:val="20"/>
                <w:szCs w:val="20"/>
                <w:lang w:bidi="ar"/>
              </w:rPr>
            </w:pPr>
          </w:p>
          <w:p w14:paraId="5AB5898A">
            <w:pPr>
              <w:widowControl/>
              <w:jc w:val="center"/>
              <w:textAlignment w:val="center"/>
              <w:rPr>
                <w:rFonts w:ascii="仿宋" w:hAnsi="仿宋" w:eastAsia="仿宋" w:cs="仿宋"/>
                <w:b/>
                <w:bCs/>
                <w:color w:val="000000"/>
                <w:kern w:val="0"/>
                <w:sz w:val="20"/>
                <w:szCs w:val="20"/>
                <w:lang w:bidi="ar"/>
              </w:rPr>
            </w:pPr>
          </w:p>
          <w:p w14:paraId="016A4B07">
            <w:pPr>
              <w:widowControl/>
              <w:jc w:val="center"/>
              <w:textAlignment w:val="center"/>
              <w:rPr>
                <w:rFonts w:ascii="仿宋" w:hAnsi="仿宋" w:eastAsia="仿宋" w:cs="仿宋"/>
                <w:b/>
                <w:bCs/>
                <w:color w:val="000000"/>
                <w:kern w:val="0"/>
                <w:sz w:val="20"/>
                <w:szCs w:val="20"/>
                <w:lang w:bidi="ar"/>
              </w:rPr>
            </w:pPr>
          </w:p>
          <w:p w14:paraId="65CD017D">
            <w:pPr>
              <w:widowControl/>
              <w:jc w:val="center"/>
              <w:textAlignment w:val="center"/>
              <w:rPr>
                <w:rFonts w:ascii="仿宋" w:hAnsi="仿宋" w:eastAsia="仿宋" w:cs="仿宋"/>
                <w:b/>
                <w:bCs/>
                <w:color w:val="000000"/>
                <w:kern w:val="0"/>
                <w:sz w:val="20"/>
                <w:szCs w:val="20"/>
                <w:lang w:bidi="ar"/>
              </w:rPr>
            </w:pPr>
          </w:p>
          <w:p w14:paraId="04BF103A">
            <w:pPr>
              <w:widowControl/>
              <w:jc w:val="center"/>
              <w:textAlignment w:val="center"/>
              <w:rPr>
                <w:rFonts w:ascii="仿宋" w:hAnsi="仿宋" w:eastAsia="仿宋" w:cs="仿宋"/>
                <w:b/>
                <w:bCs/>
                <w:color w:val="000000"/>
                <w:kern w:val="0"/>
                <w:sz w:val="20"/>
                <w:szCs w:val="20"/>
                <w:lang w:bidi="ar"/>
              </w:rPr>
            </w:pPr>
          </w:p>
          <w:p w14:paraId="30DE2AA8">
            <w:pPr>
              <w:widowControl/>
              <w:jc w:val="center"/>
              <w:textAlignment w:val="center"/>
              <w:rPr>
                <w:rFonts w:ascii="仿宋" w:hAnsi="仿宋" w:eastAsia="仿宋" w:cs="仿宋"/>
                <w:b/>
                <w:bCs/>
                <w:color w:val="000000"/>
                <w:kern w:val="0"/>
                <w:sz w:val="20"/>
                <w:szCs w:val="20"/>
                <w:lang w:bidi="ar"/>
              </w:rPr>
            </w:pPr>
          </w:p>
          <w:p w14:paraId="5617419A">
            <w:pPr>
              <w:widowControl/>
              <w:jc w:val="center"/>
              <w:textAlignment w:val="center"/>
              <w:rPr>
                <w:rFonts w:ascii="仿宋" w:hAnsi="仿宋" w:eastAsia="仿宋" w:cs="仿宋"/>
                <w:b/>
                <w:bCs/>
                <w:color w:val="000000"/>
                <w:kern w:val="0"/>
                <w:sz w:val="20"/>
                <w:szCs w:val="20"/>
                <w:lang w:bidi="ar"/>
              </w:rPr>
            </w:pPr>
          </w:p>
          <w:p w14:paraId="553C913A">
            <w:pPr>
              <w:widowControl/>
              <w:jc w:val="center"/>
              <w:textAlignment w:val="center"/>
              <w:rPr>
                <w:rFonts w:ascii="仿宋" w:hAnsi="仿宋" w:eastAsia="仿宋" w:cs="仿宋"/>
                <w:b/>
                <w:bCs/>
                <w:color w:val="000000"/>
                <w:kern w:val="0"/>
                <w:sz w:val="20"/>
                <w:szCs w:val="20"/>
                <w:lang w:bidi="ar"/>
              </w:rPr>
            </w:pPr>
          </w:p>
          <w:p w14:paraId="0F9C4793">
            <w:pPr>
              <w:widowControl/>
              <w:jc w:val="center"/>
              <w:textAlignment w:val="center"/>
              <w:rPr>
                <w:rFonts w:ascii="仿宋" w:hAnsi="仿宋" w:eastAsia="仿宋" w:cs="仿宋"/>
                <w:b/>
                <w:bCs/>
                <w:color w:val="000000"/>
                <w:kern w:val="0"/>
                <w:sz w:val="20"/>
                <w:szCs w:val="20"/>
                <w:lang w:bidi="ar"/>
              </w:rPr>
            </w:pPr>
          </w:p>
          <w:p w14:paraId="79727C49">
            <w:pPr>
              <w:widowControl/>
              <w:jc w:val="center"/>
              <w:textAlignment w:val="center"/>
              <w:rPr>
                <w:rFonts w:ascii="仿宋" w:hAnsi="仿宋" w:eastAsia="仿宋" w:cs="仿宋"/>
                <w:b/>
                <w:bCs/>
                <w:color w:val="000000"/>
                <w:kern w:val="0"/>
                <w:sz w:val="20"/>
                <w:szCs w:val="20"/>
                <w:lang w:bidi="ar"/>
              </w:rPr>
            </w:pPr>
          </w:p>
          <w:p w14:paraId="3816EAF7">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商务部分（26分）</w:t>
            </w:r>
          </w:p>
          <w:p w14:paraId="6240D5AD">
            <w:pPr>
              <w:widowControl/>
              <w:jc w:val="center"/>
              <w:textAlignment w:val="center"/>
              <w:rPr>
                <w:rFonts w:ascii="仿宋" w:hAnsi="仿宋" w:eastAsia="仿宋" w:cs="仿宋"/>
                <w:b/>
                <w:bCs/>
                <w:color w:val="000000"/>
                <w:kern w:val="0"/>
                <w:sz w:val="20"/>
                <w:szCs w:val="20"/>
                <w:lang w:bidi="ar"/>
              </w:rPr>
            </w:pPr>
          </w:p>
          <w:p w14:paraId="6C5246C8">
            <w:pPr>
              <w:widowControl/>
              <w:jc w:val="center"/>
              <w:textAlignment w:val="center"/>
              <w:rPr>
                <w:rFonts w:ascii="仿宋" w:hAnsi="仿宋" w:eastAsia="仿宋" w:cs="仿宋"/>
                <w:b/>
                <w:bCs/>
                <w:color w:val="000000"/>
                <w:kern w:val="0"/>
                <w:sz w:val="20"/>
                <w:szCs w:val="20"/>
                <w:lang w:bidi="ar"/>
              </w:rPr>
            </w:pPr>
          </w:p>
          <w:p w14:paraId="2B7246F1">
            <w:pPr>
              <w:widowControl/>
              <w:jc w:val="center"/>
              <w:textAlignment w:val="center"/>
              <w:rPr>
                <w:rFonts w:ascii="仿宋" w:hAnsi="仿宋" w:eastAsia="仿宋" w:cs="仿宋"/>
                <w:b/>
                <w:bCs/>
                <w:color w:val="000000"/>
                <w:kern w:val="0"/>
                <w:sz w:val="20"/>
                <w:szCs w:val="20"/>
                <w:lang w:bidi="ar"/>
              </w:rPr>
            </w:pPr>
          </w:p>
          <w:p w14:paraId="5A184EC3">
            <w:pPr>
              <w:widowControl/>
              <w:jc w:val="center"/>
              <w:textAlignment w:val="center"/>
              <w:rPr>
                <w:rFonts w:ascii="仿宋" w:hAnsi="仿宋" w:eastAsia="仿宋" w:cs="仿宋"/>
                <w:b/>
                <w:bCs/>
                <w:color w:val="000000"/>
                <w:kern w:val="0"/>
                <w:sz w:val="20"/>
                <w:szCs w:val="20"/>
                <w:lang w:bidi="ar"/>
              </w:rPr>
            </w:pPr>
          </w:p>
          <w:p w14:paraId="7192660E">
            <w:pPr>
              <w:widowControl/>
              <w:jc w:val="center"/>
              <w:textAlignment w:val="center"/>
              <w:rPr>
                <w:rFonts w:ascii="仿宋" w:hAnsi="仿宋" w:eastAsia="仿宋" w:cs="仿宋"/>
                <w:b/>
                <w:bCs/>
                <w:color w:val="000000"/>
                <w:kern w:val="0"/>
                <w:sz w:val="20"/>
                <w:szCs w:val="20"/>
                <w:lang w:bidi="ar"/>
              </w:rPr>
            </w:pPr>
          </w:p>
          <w:p w14:paraId="18621169">
            <w:pPr>
              <w:widowControl/>
              <w:jc w:val="center"/>
              <w:textAlignment w:val="center"/>
              <w:rPr>
                <w:rFonts w:ascii="仿宋" w:hAnsi="仿宋" w:eastAsia="仿宋" w:cs="仿宋"/>
                <w:b/>
                <w:bCs/>
                <w:color w:val="000000"/>
                <w:kern w:val="0"/>
                <w:sz w:val="20"/>
                <w:szCs w:val="20"/>
                <w:lang w:bidi="ar"/>
              </w:rPr>
            </w:pPr>
          </w:p>
          <w:p w14:paraId="0542B966">
            <w:pPr>
              <w:widowControl/>
              <w:jc w:val="center"/>
              <w:textAlignment w:val="center"/>
              <w:rPr>
                <w:rFonts w:ascii="仿宋" w:hAnsi="仿宋" w:eastAsia="仿宋" w:cs="仿宋"/>
                <w:b/>
                <w:bCs/>
                <w:color w:val="000000"/>
                <w:kern w:val="0"/>
                <w:sz w:val="20"/>
                <w:szCs w:val="20"/>
                <w:lang w:bidi="ar"/>
              </w:rPr>
            </w:pPr>
          </w:p>
          <w:p w14:paraId="6BCF1FC5">
            <w:pPr>
              <w:widowControl/>
              <w:jc w:val="center"/>
              <w:textAlignment w:val="center"/>
              <w:rPr>
                <w:rFonts w:ascii="仿宋" w:hAnsi="仿宋" w:eastAsia="仿宋" w:cs="仿宋"/>
                <w:b/>
                <w:bCs/>
                <w:color w:val="000000"/>
                <w:kern w:val="0"/>
                <w:sz w:val="20"/>
                <w:szCs w:val="20"/>
                <w:lang w:bidi="ar"/>
              </w:rPr>
            </w:pPr>
          </w:p>
          <w:p w14:paraId="0402BEBB">
            <w:pPr>
              <w:widowControl/>
              <w:jc w:val="center"/>
              <w:textAlignment w:val="center"/>
              <w:rPr>
                <w:rFonts w:ascii="仿宋" w:hAnsi="仿宋" w:eastAsia="仿宋" w:cs="仿宋"/>
                <w:b/>
                <w:bCs/>
                <w:color w:val="000000"/>
                <w:kern w:val="0"/>
                <w:sz w:val="20"/>
                <w:szCs w:val="20"/>
                <w:lang w:bidi="ar"/>
              </w:rPr>
            </w:pPr>
          </w:p>
          <w:p w14:paraId="785BD0A4">
            <w:pPr>
              <w:widowControl/>
              <w:jc w:val="center"/>
              <w:textAlignment w:val="center"/>
              <w:rPr>
                <w:rFonts w:ascii="仿宋" w:hAnsi="仿宋" w:eastAsia="仿宋" w:cs="仿宋"/>
                <w:b/>
                <w:bCs/>
                <w:color w:val="000000"/>
                <w:kern w:val="0"/>
                <w:sz w:val="20"/>
                <w:szCs w:val="20"/>
                <w:lang w:bidi="ar"/>
              </w:rPr>
            </w:pPr>
          </w:p>
          <w:p w14:paraId="75601312">
            <w:pPr>
              <w:widowControl/>
              <w:jc w:val="center"/>
              <w:textAlignment w:val="center"/>
              <w:rPr>
                <w:rFonts w:ascii="仿宋" w:hAnsi="仿宋" w:eastAsia="仿宋" w:cs="仿宋"/>
                <w:b/>
                <w:bCs/>
                <w:color w:val="000000"/>
                <w:kern w:val="0"/>
                <w:sz w:val="20"/>
                <w:szCs w:val="20"/>
                <w:lang w:bidi="ar"/>
              </w:rPr>
            </w:pPr>
          </w:p>
          <w:p w14:paraId="01C87E2C">
            <w:pPr>
              <w:widowControl/>
              <w:jc w:val="center"/>
              <w:textAlignment w:val="center"/>
              <w:rPr>
                <w:rFonts w:ascii="仿宋" w:hAnsi="仿宋" w:eastAsia="仿宋" w:cs="仿宋"/>
                <w:b/>
                <w:bCs/>
                <w:color w:val="000000"/>
                <w:kern w:val="0"/>
                <w:sz w:val="20"/>
                <w:szCs w:val="20"/>
                <w:lang w:bidi="ar"/>
              </w:rPr>
            </w:pPr>
          </w:p>
          <w:p w14:paraId="039D0F5E">
            <w:pPr>
              <w:widowControl/>
              <w:jc w:val="center"/>
              <w:textAlignment w:val="center"/>
              <w:rPr>
                <w:rFonts w:ascii="仿宋" w:hAnsi="仿宋" w:eastAsia="仿宋" w:cs="仿宋"/>
                <w:b/>
                <w:bCs/>
                <w:color w:val="000000"/>
                <w:kern w:val="0"/>
                <w:sz w:val="20"/>
                <w:szCs w:val="20"/>
                <w:lang w:bidi="ar"/>
              </w:rPr>
            </w:pPr>
          </w:p>
          <w:p w14:paraId="3B63312A">
            <w:pPr>
              <w:widowControl/>
              <w:jc w:val="center"/>
              <w:textAlignment w:val="center"/>
              <w:rPr>
                <w:rFonts w:ascii="仿宋" w:hAnsi="仿宋" w:eastAsia="仿宋" w:cs="仿宋"/>
                <w:b/>
                <w:bCs/>
                <w:color w:val="000000"/>
                <w:kern w:val="0"/>
                <w:sz w:val="20"/>
                <w:szCs w:val="20"/>
                <w:lang w:bidi="ar"/>
              </w:rPr>
            </w:pPr>
          </w:p>
          <w:p w14:paraId="6761E293">
            <w:pPr>
              <w:widowControl/>
              <w:jc w:val="center"/>
              <w:textAlignment w:val="center"/>
              <w:rPr>
                <w:rFonts w:ascii="仿宋" w:hAnsi="仿宋" w:eastAsia="仿宋" w:cs="仿宋"/>
                <w:b/>
                <w:bCs/>
                <w:color w:val="000000"/>
                <w:kern w:val="0"/>
                <w:sz w:val="20"/>
                <w:szCs w:val="20"/>
                <w:lang w:bidi="ar"/>
              </w:rPr>
            </w:pPr>
          </w:p>
          <w:p w14:paraId="313E1983">
            <w:pPr>
              <w:widowControl/>
              <w:jc w:val="center"/>
              <w:textAlignment w:val="center"/>
              <w:rPr>
                <w:rFonts w:ascii="仿宋" w:hAnsi="仿宋" w:eastAsia="仿宋" w:cs="仿宋"/>
                <w:b/>
                <w:bCs/>
                <w:color w:val="000000"/>
                <w:kern w:val="0"/>
                <w:sz w:val="20"/>
                <w:szCs w:val="20"/>
                <w:lang w:bidi="ar"/>
              </w:rPr>
            </w:pPr>
          </w:p>
          <w:p w14:paraId="366596F3">
            <w:pPr>
              <w:widowControl/>
              <w:jc w:val="center"/>
              <w:textAlignment w:val="center"/>
              <w:rPr>
                <w:rFonts w:ascii="仿宋" w:hAnsi="仿宋" w:eastAsia="仿宋" w:cs="仿宋"/>
                <w:b/>
                <w:bCs/>
                <w:color w:val="000000"/>
                <w:kern w:val="0"/>
                <w:sz w:val="20"/>
                <w:szCs w:val="20"/>
                <w:lang w:bidi="ar"/>
              </w:rPr>
            </w:pPr>
          </w:p>
          <w:p w14:paraId="725CB261">
            <w:pPr>
              <w:widowControl/>
              <w:jc w:val="center"/>
              <w:textAlignment w:val="center"/>
              <w:rPr>
                <w:rFonts w:ascii="仿宋" w:hAnsi="仿宋" w:eastAsia="仿宋" w:cs="仿宋"/>
                <w:b/>
                <w:bCs/>
                <w:color w:val="000000"/>
                <w:kern w:val="0"/>
                <w:sz w:val="20"/>
                <w:szCs w:val="20"/>
                <w:lang w:bidi="ar"/>
              </w:rPr>
            </w:pPr>
          </w:p>
          <w:p w14:paraId="693425BA">
            <w:pPr>
              <w:widowControl/>
              <w:jc w:val="center"/>
              <w:textAlignment w:val="center"/>
              <w:rPr>
                <w:rFonts w:ascii="仿宋" w:hAnsi="仿宋" w:eastAsia="仿宋" w:cs="仿宋"/>
                <w:b/>
                <w:bCs/>
                <w:color w:val="000000"/>
                <w:kern w:val="0"/>
                <w:sz w:val="20"/>
                <w:szCs w:val="20"/>
                <w:lang w:bidi="ar"/>
              </w:rPr>
            </w:pPr>
          </w:p>
          <w:p w14:paraId="10983F64">
            <w:pPr>
              <w:widowControl/>
              <w:jc w:val="center"/>
              <w:textAlignment w:val="center"/>
              <w:rPr>
                <w:rFonts w:ascii="仿宋" w:hAnsi="仿宋" w:eastAsia="仿宋" w:cs="仿宋"/>
                <w:b/>
                <w:bCs/>
                <w:color w:val="000000"/>
                <w:kern w:val="0"/>
                <w:sz w:val="20"/>
                <w:szCs w:val="20"/>
                <w:lang w:bidi="ar"/>
              </w:rPr>
            </w:pPr>
          </w:p>
          <w:p w14:paraId="3BC4AB9B">
            <w:pPr>
              <w:widowControl/>
              <w:jc w:val="center"/>
              <w:textAlignment w:val="center"/>
              <w:rPr>
                <w:rFonts w:ascii="仿宋" w:hAnsi="仿宋" w:eastAsia="仿宋" w:cs="仿宋"/>
                <w:b/>
                <w:bCs/>
                <w:color w:val="000000"/>
                <w:kern w:val="0"/>
                <w:sz w:val="20"/>
                <w:szCs w:val="20"/>
                <w:lang w:bidi="ar"/>
              </w:rPr>
            </w:pPr>
          </w:p>
          <w:p w14:paraId="02F82FB4">
            <w:pPr>
              <w:widowControl/>
              <w:jc w:val="center"/>
              <w:textAlignment w:val="center"/>
              <w:rPr>
                <w:rFonts w:ascii="仿宋" w:hAnsi="仿宋" w:eastAsia="仿宋" w:cs="仿宋"/>
                <w:b/>
                <w:bCs/>
                <w:color w:val="000000"/>
                <w:kern w:val="0"/>
                <w:sz w:val="20"/>
                <w:szCs w:val="20"/>
                <w:lang w:bidi="ar"/>
              </w:rPr>
            </w:pPr>
          </w:p>
          <w:p w14:paraId="064AD06E">
            <w:pPr>
              <w:widowControl/>
              <w:jc w:val="center"/>
              <w:textAlignment w:val="center"/>
              <w:rPr>
                <w:rFonts w:ascii="仿宋" w:hAnsi="仿宋" w:eastAsia="仿宋" w:cs="仿宋"/>
                <w:b/>
                <w:bCs/>
                <w:color w:val="000000"/>
                <w:kern w:val="0"/>
                <w:sz w:val="20"/>
                <w:szCs w:val="20"/>
                <w:lang w:bidi="ar"/>
              </w:rPr>
            </w:pPr>
          </w:p>
          <w:p w14:paraId="7F2ABCBD">
            <w:pPr>
              <w:widowControl/>
              <w:jc w:val="center"/>
              <w:textAlignment w:val="center"/>
              <w:rPr>
                <w:rFonts w:ascii="仿宋" w:hAnsi="仿宋" w:eastAsia="仿宋" w:cs="仿宋"/>
                <w:b/>
                <w:bCs/>
                <w:color w:val="000000"/>
                <w:kern w:val="0"/>
                <w:sz w:val="20"/>
                <w:szCs w:val="20"/>
                <w:lang w:bidi="ar"/>
              </w:rPr>
            </w:pPr>
          </w:p>
          <w:p w14:paraId="25979903">
            <w:pPr>
              <w:widowControl/>
              <w:jc w:val="center"/>
              <w:textAlignment w:val="center"/>
              <w:rPr>
                <w:rFonts w:ascii="仿宋" w:hAnsi="仿宋" w:eastAsia="仿宋" w:cs="仿宋"/>
                <w:b/>
                <w:bCs/>
                <w:color w:val="000000"/>
                <w:kern w:val="0"/>
                <w:sz w:val="20"/>
                <w:szCs w:val="20"/>
                <w:lang w:bidi="ar"/>
              </w:rPr>
            </w:pPr>
          </w:p>
          <w:p w14:paraId="43D5C41C">
            <w:pPr>
              <w:widowControl/>
              <w:jc w:val="center"/>
              <w:textAlignment w:val="center"/>
              <w:rPr>
                <w:rFonts w:ascii="仿宋" w:hAnsi="仿宋" w:eastAsia="仿宋" w:cs="仿宋"/>
                <w:b/>
                <w:bCs/>
                <w:color w:val="000000"/>
                <w:kern w:val="0"/>
                <w:sz w:val="20"/>
                <w:szCs w:val="20"/>
                <w:lang w:bidi="ar"/>
              </w:rPr>
            </w:pPr>
          </w:p>
          <w:p w14:paraId="7AD12C9A">
            <w:pPr>
              <w:widowControl/>
              <w:jc w:val="center"/>
              <w:textAlignment w:val="center"/>
              <w:rPr>
                <w:rFonts w:ascii="仿宋" w:hAnsi="仿宋" w:eastAsia="仿宋" w:cs="仿宋"/>
                <w:b/>
                <w:bCs/>
                <w:color w:val="000000"/>
                <w:kern w:val="0"/>
                <w:sz w:val="20"/>
                <w:szCs w:val="20"/>
                <w:lang w:bidi="ar"/>
              </w:rPr>
            </w:pPr>
          </w:p>
          <w:p w14:paraId="45A90642">
            <w:pPr>
              <w:widowControl/>
              <w:jc w:val="center"/>
              <w:textAlignment w:val="center"/>
              <w:rPr>
                <w:rFonts w:ascii="仿宋" w:hAnsi="仿宋" w:eastAsia="仿宋" w:cs="仿宋"/>
                <w:b/>
                <w:bCs/>
                <w:color w:val="000000"/>
                <w:kern w:val="0"/>
                <w:sz w:val="20"/>
                <w:szCs w:val="20"/>
                <w:lang w:bidi="ar"/>
              </w:rPr>
            </w:pPr>
          </w:p>
          <w:p w14:paraId="0061E4A0">
            <w:pPr>
              <w:widowControl/>
              <w:jc w:val="center"/>
              <w:textAlignment w:val="center"/>
              <w:rPr>
                <w:rFonts w:ascii="仿宋" w:hAnsi="仿宋" w:eastAsia="仿宋" w:cs="仿宋"/>
                <w:b/>
                <w:bCs/>
                <w:color w:val="000000"/>
                <w:kern w:val="0"/>
                <w:sz w:val="20"/>
                <w:szCs w:val="20"/>
                <w:lang w:bidi="ar"/>
              </w:rPr>
            </w:pPr>
          </w:p>
          <w:p w14:paraId="468C8F0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技术资信部分</w:t>
            </w: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（19分）</w:t>
            </w:r>
          </w:p>
          <w:p w14:paraId="19574B79">
            <w:pPr>
              <w:jc w:val="center"/>
              <w:textAlignment w:val="center"/>
              <w:rPr>
                <w:rFonts w:ascii="仿宋" w:hAnsi="仿宋" w:eastAsia="仿宋" w:cs="仿宋"/>
                <w:b/>
                <w:bCs/>
                <w:color w:val="00000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4F7199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业绩</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569E0F12">
            <w:pPr>
              <w:rPr>
                <w:rFonts w:ascii="仿宋" w:hAnsi="仿宋" w:eastAsia="仿宋" w:cs="仿宋"/>
                <w:sz w:val="20"/>
                <w:szCs w:val="20"/>
                <w:lang w:bidi="ar"/>
              </w:rPr>
            </w:pPr>
            <w:r>
              <w:rPr>
                <w:rFonts w:hint="eastAsia" w:ascii="仿宋" w:hAnsi="仿宋" w:eastAsia="仿宋" w:cs="仿宋"/>
                <w:color w:val="000000"/>
                <w:kern w:val="0"/>
                <w:sz w:val="20"/>
                <w:szCs w:val="20"/>
                <w:lang w:bidi="ar"/>
              </w:rPr>
              <w:t>自</w:t>
            </w:r>
            <w:r>
              <w:rPr>
                <w:rFonts w:hint="eastAsia" w:ascii="仿宋" w:hAnsi="仿宋" w:eastAsia="仿宋" w:cs="仿宋"/>
                <w:sz w:val="20"/>
                <w:szCs w:val="20"/>
                <w:lang w:bidi="ar"/>
              </w:rPr>
              <w:t>2022年1月1日以来（以合同签订时间为准），投标人具有单个合同金额＞3万元消的防维保服务业绩的，每提供1个业绩得</w:t>
            </w:r>
            <w:r>
              <w:rPr>
                <w:rFonts w:ascii="仿宋" w:hAnsi="仿宋" w:eastAsia="仿宋" w:cs="仿宋"/>
                <w:sz w:val="20"/>
                <w:szCs w:val="20"/>
                <w:lang w:bidi="ar"/>
              </w:rPr>
              <w:t>4</w:t>
            </w:r>
            <w:r>
              <w:rPr>
                <w:rFonts w:hint="eastAsia" w:ascii="仿宋" w:hAnsi="仿宋" w:eastAsia="仿宋" w:cs="仿宋"/>
                <w:sz w:val="20"/>
                <w:szCs w:val="20"/>
                <w:lang w:bidi="ar"/>
              </w:rPr>
              <w:t>分，此小项满分</w:t>
            </w:r>
            <w:r>
              <w:rPr>
                <w:rFonts w:ascii="仿宋" w:hAnsi="仿宋" w:eastAsia="仿宋" w:cs="仿宋"/>
                <w:sz w:val="20"/>
                <w:szCs w:val="20"/>
                <w:lang w:bidi="ar"/>
              </w:rPr>
              <w:t>12</w:t>
            </w:r>
            <w:r>
              <w:rPr>
                <w:rFonts w:hint="eastAsia" w:ascii="仿宋" w:hAnsi="仿宋" w:eastAsia="仿宋" w:cs="仿宋"/>
                <w:sz w:val="20"/>
                <w:szCs w:val="20"/>
                <w:lang w:bidi="ar"/>
              </w:rPr>
              <w:t>分；</w:t>
            </w:r>
          </w:p>
          <w:p w14:paraId="08B5157C">
            <w:pPr>
              <w:rPr>
                <w:rFonts w:ascii="仿宋" w:hAnsi="仿宋" w:eastAsia="仿宋" w:cs="仿宋"/>
                <w:sz w:val="20"/>
                <w:szCs w:val="20"/>
                <w:lang w:bidi="ar"/>
              </w:rPr>
            </w:pPr>
            <w:r>
              <w:rPr>
                <w:rFonts w:hint="eastAsia" w:ascii="仿宋" w:hAnsi="仿宋" w:eastAsia="仿宋" w:cs="仿宋"/>
                <w:sz w:val="20"/>
                <w:szCs w:val="20"/>
                <w:lang w:bidi="ar"/>
              </w:rPr>
              <w:t>注：1. 投标人资格审查用业绩不得分。</w:t>
            </w:r>
          </w:p>
          <w:p w14:paraId="2605F7C3">
            <w:pPr>
              <w:rPr>
                <w:rFonts w:ascii="仿宋" w:hAnsi="仿宋" w:eastAsia="仿宋" w:cs="仿宋"/>
                <w:sz w:val="20"/>
                <w:szCs w:val="20"/>
                <w:lang w:bidi="ar"/>
              </w:rPr>
            </w:pPr>
            <w:r>
              <w:rPr>
                <w:rFonts w:ascii="仿宋" w:hAnsi="仿宋" w:eastAsia="仿宋" w:cs="仿宋"/>
                <w:sz w:val="20"/>
                <w:szCs w:val="20"/>
                <w:lang w:bidi="ar"/>
              </w:rPr>
              <w:t>2.</w:t>
            </w:r>
            <w:r>
              <w:rPr>
                <w:rFonts w:hint="eastAsia" w:ascii="仿宋" w:hAnsi="仿宋" w:eastAsia="仿宋" w:cs="仿宋"/>
                <w:sz w:val="20"/>
                <w:szCs w:val="20"/>
                <w:lang w:bidi="ar"/>
              </w:rPr>
              <w:t>以上要求为已履约完成的业绩，投标文件中提供业绩合同和验收材料的扫描件，若上述材料无法体现签订时间、项目内容等关键评审因素的，须另附业主单位证明材料的扫描件（加盖业主单位公章）。</w:t>
            </w:r>
          </w:p>
          <w:p w14:paraId="4DFEB2C7">
            <w:pPr>
              <w:rPr>
                <w:rFonts w:ascii="仿宋" w:hAnsi="仿宋" w:eastAsia="仿宋" w:cs="仿宋"/>
                <w:color w:val="000000"/>
                <w:sz w:val="20"/>
                <w:szCs w:val="20"/>
              </w:rPr>
            </w:pPr>
            <w:r>
              <w:rPr>
                <w:rFonts w:hint="eastAsia" w:ascii="仿宋" w:hAnsi="仿宋" w:eastAsia="仿宋" w:cs="仿宋"/>
                <w:sz w:val="20"/>
                <w:szCs w:val="20"/>
                <w:lang w:bidi="ar"/>
              </w:rPr>
              <w:t>投标人资格审查用业绩不得分。</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3F1D6C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r>
              <w:rPr>
                <w:rFonts w:ascii="仿宋" w:hAnsi="仿宋" w:eastAsia="仿宋" w:cs="仿宋"/>
                <w:color w:val="000000"/>
                <w:kern w:val="0"/>
                <w:sz w:val="20"/>
                <w:szCs w:val="20"/>
                <w:lang w:bidi="ar"/>
              </w:rPr>
              <w:t>12</w:t>
            </w:r>
            <w:r>
              <w:rPr>
                <w:rFonts w:hint="eastAsia" w:ascii="仿宋" w:hAnsi="仿宋" w:eastAsia="仿宋" w:cs="仿宋"/>
                <w:color w:val="000000"/>
                <w:kern w:val="0"/>
                <w:sz w:val="20"/>
                <w:szCs w:val="20"/>
                <w:lang w:bidi="ar"/>
              </w:rPr>
              <w:t>分</w:t>
            </w:r>
          </w:p>
        </w:tc>
      </w:tr>
      <w:tr w14:paraId="5DFCCE99">
        <w:tblPrEx>
          <w:tblCellMar>
            <w:top w:w="0" w:type="dxa"/>
            <w:left w:w="108" w:type="dxa"/>
            <w:bottom w:w="0" w:type="dxa"/>
            <w:right w:w="108" w:type="dxa"/>
          </w:tblCellMar>
        </w:tblPrEx>
        <w:trPr>
          <w:trHeight w:val="1560" w:hRule="atLeast"/>
          <w:jc w:val="center"/>
        </w:trPr>
        <w:tc>
          <w:tcPr>
            <w:tcW w:w="1195" w:type="dxa"/>
            <w:vMerge w:val="continue"/>
            <w:tcBorders>
              <w:left w:val="single" w:color="000000" w:sz="4" w:space="0"/>
              <w:right w:val="single" w:color="auto" w:sz="4" w:space="0"/>
            </w:tcBorders>
            <w:shd w:val="clear" w:color="auto" w:fill="auto"/>
            <w:vAlign w:val="center"/>
          </w:tcPr>
          <w:p w14:paraId="7B3CB734">
            <w:pPr>
              <w:jc w:val="center"/>
              <w:textAlignment w:val="center"/>
              <w:rPr>
                <w:rFonts w:ascii="仿宋" w:hAnsi="仿宋" w:eastAsia="仿宋" w:cs="仿宋"/>
                <w:b/>
                <w:bCs/>
                <w:color w:val="000000"/>
                <w:kern w:val="0"/>
                <w:sz w:val="20"/>
                <w:szCs w:val="20"/>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34D3648">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体系认证</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42853AE">
            <w:pP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投标人具有经中国国家认证认可监督管理委员会认证机构颁发有效期内的：</w:t>
            </w:r>
          </w:p>
          <w:p w14:paraId="3A1F06CA">
            <w:pP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1.质量管理体系认证，得2分；</w:t>
            </w:r>
          </w:p>
          <w:p w14:paraId="53543F49">
            <w:pP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2.环境管理体系认证，得2分；</w:t>
            </w:r>
          </w:p>
          <w:p w14:paraId="620CAD6F">
            <w:pP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3.职业健康安全管理体系认证，得2分。</w:t>
            </w:r>
          </w:p>
          <w:p w14:paraId="1B6653F8">
            <w:pP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注：响应文件中提供全国认证认可信息公共服务平台官网认证信息查询截图。</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3FB00000">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r>
              <w:rPr>
                <w:rFonts w:ascii="仿宋" w:hAnsi="仿宋" w:eastAsia="仿宋" w:cs="仿宋"/>
                <w:color w:val="000000"/>
                <w:kern w:val="0"/>
                <w:sz w:val="20"/>
                <w:szCs w:val="20"/>
                <w:lang w:bidi="ar"/>
              </w:rPr>
              <w:t>-6</w:t>
            </w:r>
            <w:r>
              <w:rPr>
                <w:rFonts w:hint="eastAsia" w:ascii="仿宋" w:hAnsi="仿宋" w:eastAsia="仿宋" w:cs="仿宋"/>
                <w:color w:val="000000"/>
                <w:kern w:val="0"/>
                <w:sz w:val="20"/>
                <w:szCs w:val="20"/>
                <w:lang w:bidi="ar"/>
              </w:rPr>
              <w:t>分</w:t>
            </w:r>
          </w:p>
        </w:tc>
      </w:tr>
      <w:tr w14:paraId="47A75271">
        <w:tblPrEx>
          <w:tblCellMar>
            <w:top w:w="0" w:type="dxa"/>
            <w:left w:w="108" w:type="dxa"/>
            <w:bottom w:w="0" w:type="dxa"/>
            <w:right w:w="108" w:type="dxa"/>
          </w:tblCellMar>
        </w:tblPrEx>
        <w:trPr>
          <w:trHeight w:val="1560" w:hRule="atLeast"/>
          <w:jc w:val="center"/>
        </w:trPr>
        <w:tc>
          <w:tcPr>
            <w:tcW w:w="1195" w:type="dxa"/>
            <w:vMerge w:val="continue"/>
            <w:tcBorders>
              <w:left w:val="single" w:color="000000" w:sz="4" w:space="0"/>
              <w:right w:val="single" w:color="auto" w:sz="4" w:space="0"/>
            </w:tcBorders>
            <w:shd w:val="clear" w:color="auto" w:fill="auto"/>
            <w:vAlign w:val="center"/>
          </w:tcPr>
          <w:p w14:paraId="468EB22D">
            <w:pPr>
              <w:jc w:val="center"/>
              <w:textAlignment w:val="center"/>
              <w:rPr>
                <w:rFonts w:ascii="仿宋" w:hAnsi="仿宋" w:eastAsia="仿宋" w:cs="仿宋"/>
                <w:b/>
                <w:bCs/>
                <w:color w:val="000000"/>
                <w:kern w:val="0"/>
                <w:sz w:val="20"/>
                <w:szCs w:val="20"/>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B564615">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人员配备</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67CB7662">
            <w:pPr>
              <w:rPr>
                <w:rFonts w:ascii="仿宋" w:hAnsi="仿宋" w:eastAsia="仿宋" w:cs="仿宋"/>
                <w:color w:val="000000"/>
                <w:sz w:val="20"/>
                <w:szCs w:val="20"/>
              </w:rPr>
            </w:pPr>
            <w:r>
              <w:rPr>
                <w:rFonts w:hint="eastAsia" w:ascii="仿宋" w:hAnsi="仿宋" w:eastAsia="仿宋" w:cs="仿宋"/>
                <w:color w:val="000000"/>
                <w:sz w:val="20"/>
                <w:szCs w:val="20"/>
              </w:rPr>
              <w:t>1.拟任项目负责人（1人）</w:t>
            </w:r>
          </w:p>
          <w:p w14:paraId="03897708">
            <w:pPr>
              <w:rPr>
                <w:rFonts w:ascii="仿宋" w:hAnsi="仿宋" w:eastAsia="仿宋" w:cs="仿宋"/>
                <w:color w:val="000000"/>
                <w:sz w:val="20"/>
                <w:szCs w:val="20"/>
              </w:rPr>
            </w:pPr>
            <w:r>
              <w:rPr>
                <w:rFonts w:hint="eastAsia" w:ascii="仿宋" w:hAnsi="仿宋" w:eastAsia="仿宋" w:cs="仿宋"/>
                <w:color w:val="000000"/>
                <w:sz w:val="20"/>
                <w:szCs w:val="20"/>
              </w:rPr>
              <w:t>具有一级注册消防工程师证书的，得</w:t>
            </w:r>
            <w:r>
              <w:rPr>
                <w:rFonts w:ascii="仿宋" w:hAnsi="仿宋" w:eastAsia="仿宋" w:cs="仿宋"/>
                <w:color w:val="000000"/>
                <w:sz w:val="20"/>
                <w:szCs w:val="20"/>
              </w:rPr>
              <w:t>4</w:t>
            </w:r>
            <w:r>
              <w:rPr>
                <w:rFonts w:hint="eastAsia" w:ascii="仿宋" w:hAnsi="仿宋" w:eastAsia="仿宋" w:cs="仿宋"/>
                <w:color w:val="000000"/>
                <w:sz w:val="20"/>
                <w:szCs w:val="20"/>
              </w:rPr>
              <w:t>分，此小项满分</w:t>
            </w:r>
            <w:r>
              <w:rPr>
                <w:rFonts w:ascii="仿宋" w:hAnsi="仿宋" w:eastAsia="仿宋" w:cs="仿宋"/>
                <w:color w:val="000000"/>
                <w:sz w:val="20"/>
                <w:szCs w:val="20"/>
              </w:rPr>
              <w:t>4</w:t>
            </w:r>
            <w:r>
              <w:rPr>
                <w:rFonts w:hint="eastAsia" w:ascii="仿宋" w:hAnsi="仿宋" w:eastAsia="仿宋" w:cs="仿宋"/>
                <w:color w:val="000000"/>
                <w:sz w:val="20"/>
                <w:szCs w:val="20"/>
              </w:rPr>
              <w:t>分。</w:t>
            </w:r>
          </w:p>
          <w:p w14:paraId="4BA810D3">
            <w:pPr>
              <w:rPr>
                <w:rFonts w:ascii="仿宋" w:hAnsi="仿宋" w:eastAsia="仿宋" w:cs="仿宋"/>
                <w:color w:val="000000"/>
                <w:sz w:val="20"/>
                <w:szCs w:val="20"/>
              </w:rPr>
            </w:pPr>
            <w:r>
              <w:rPr>
                <w:rFonts w:hint="eastAsia" w:ascii="仿宋" w:hAnsi="仿宋" w:eastAsia="仿宋" w:cs="仿宋"/>
                <w:color w:val="000000"/>
                <w:sz w:val="20"/>
                <w:szCs w:val="20"/>
              </w:rPr>
              <w:t>2.投标人拟为本项目派驻的服务人员（除项目负责人外）：每提供一人具有中级（四级）及以上消防设施操作员（或建构筑物消防员）证书的，得2分，此小项满分4分。</w:t>
            </w:r>
          </w:p>
          <w:p w14:paraId="099A3ADC">
            <w:pPr>
              <w:rPr>
                <w:rFonts w:ascii="仿宋" w:hAnsi="仿宋" w:eastAsia="仿宋" w:cs="仿宋"/>
                <w:color w:val="000000"/>
                <w:sz w:val="20"/>
                <w:szCs w:val="20"/>
              </w:rPr>
            </w:pPr>
            <w:r>
              <w:rPr>
                <w:rFonts w:hint="eastAsia" w:ascii="仿宋" w:hAnsi="仿宋" w:eastAsia="仿宋" w:cs="仿宋"/>
                <w:color w:val="000000"/>
                <w:sz w:val="20"/>
                <w:szCs w:val="20"/>
              </w:rPr>
              <w:t>注：投标文件中同时提供：</w:t>
            </w:r>
          </w:p>
          <w:p w14:paraId="7CD0B2FB">
            <w:pPr>
              <w:rPr>
                <w:rFonts w:ascii="仿宋" w:hAnsi="仿宋" w:eastAsia="仿宋" w:cs="仿宋"/>
                <w:color w:val="000000"/>
                <w:sz w:val="20"/>
                <w:szCs w:val="20"/>
              </w:rPr>
            </w:pPr>
            <w:r>
              <w:rPr>
                <w:rFonts w:hint="eastAsia" w:ascii="仿宋" w:hAnsi="仿宋" w:eastAsia="仿宋" w:cs="仿宋"/>
                <w:color w:val="000000"/>
                <w:sz w:val="20"/>
                <w:szCs w:val="20"/>
              </w:rPr>
              <w:t>（1）上述人员名单（附件5）；</w:t>
            </w:r>
          </w:p>
          <w:p w14:paraId="6D6F35B3">
            <w:pPr>
              <w:rPr>
                <w:rFonts w:ascii="仿宋" w:hAnsi="仿宋" w:eastAsia="仿宋" w:cs="仿宋"/>
                <w:color w:val="000000"/>
                <w:sz w:val="20"/>
                <w:szCs w:val="20"/>
              </w:rPr>
            </w:pPr>
            <w:r>
              <w:rPr>
                <w:rFonts w:hint="eastAsia" w:ascii="仿宋" w:hAnsi="仿宋" w:eastAsia="仿宋" w:cs="仿宋"/>
                <w:color w:val="000000"/>
                <w:sz w:val="20"/>
                <w:szCs w:val="20"/>
              </w:rPr>
              <w:t>（2）以上人员相应的证书扫描件；</w:t>
            </w:r>
          </w:p>
          <w:p w14:paraId="5E6C113B">
            <w:pPr>
              <w:rPr>
                <w:rFonts w:ascii="仿宋" w:hAnsi="仿宋" w:eastAsia="仿宋" w:cs="仿宋"/>
                <w:color w:val="000000"/>
                <w:sz w:val="20"/>
                <w:szCs w:val="20"/>
              </w:rPr>
            </w:pPr>
            <w:r>
              <w:rPr>
                <w:rFonts w:hint="eastAsia" w:ascii="仿宋" w:hAnsi="仿宋" w:eastAsia="仿宋" w:cs="仿宋"/>
                <w:color w:val="000000"/>
                <w:sz w:val="20"/>
                <w:szCs w:val="20"/>
              </w:rPr>
              <w:t>（3）投标人为上述人员缴纳的近3个月内（任意1个月即可）的社保证明材料扫描件。</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72DDF25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r>
              <w:rPr>
                <w:rFonts w:ascii="仿宋" w:hAnsi="仿宋" w:eastAsia="仿宋" w:cs="仿宋"/>
                <w:color w:val="000000"/>
                <w:kern w:val="0"/>
                <w:sz w:val="20"/>
                <w:szCs w:val="20"/>
                <w:lang w:bidi="ar"/>
              </w:rPr>
              <w:t>-8</w:t>
            </w:r>
            <w:r>
              <w:rPr>
                <w:rFonts w:hint="eastAsia" w:ascii="仿宋" w:hAnsi="仿宋" w:eastAsia="仿宋" w:cs="仿宋"/>
                <w:color w:val="000000"/>
                <w:kern w:val="0"/>
                <w:sz w:val="20"/>
                <w:szCs w:val="20"/>
                <w:lang w:bidi="ar"/>
              </w:rPr>
              <w:t>分</w:t>
            </w:r>
          </w:p>
        </w:tc>
      </w:tr>
      <w:tr w14:paraId="4CA3E1C9">
        <w:tblPrEx>
          <w:tblCellMar>
            <w:top w:w="0" w:type="dxa"/>
            <w:left w:w="108" w:type="dxa"/>
            <w:bottom w:w="0" w:type="dxa"/>
            <w:right w:w="108" w:type="dxa"/>
          </w:tblCellMar>
        </w:tblPrEx>
        <w:trPr>
          <w:trHeight w:val="660" w:hRule="atLeast"/>
          <w:jc w:val="center"/>
        </w:trPr>
        <w:tc>
          <w:tcPr>
            <w:tcW w:w="1195" w:type="dxa"/>
            <w:vMerge w:val="continue"/>
            <w:tcBorders>
              <w:left w:val="single" w:color="000000" w:sz="4" w:space="0"/>
              <w:right w:val="single" w:color="auto" w:sz="4" w:space="0"/>
            </w:tcBorders>
            <w:shd w:val="clear" w:color="auto" w:fill="auto"/>
            <w:vAlign w:val="center"/>
          </w:tcPr>
          <w:p w14:paraId="79129AAE">
            <w:pPr>
              <w:widowControl/>
              <w:jc w:val="center"/>
              <w:textAlignment w:val="center"/>
              <w:rPr>
                <w:rFonts w:ascii="仿宋" w:hAnsi="仿宋" w:eastAsia="仿宋" w:cs="仿宋"/>
                <w:b/>
                <w:bCs/>
                <w:color w:val="000000"/>
                <w:sz w:val="20"/>
                <w:szCs w:val="20"/>
              </w:rPr>
            </w:pPr>
          </w:p>
        </w:tc>
        <w:tc>
          <w:tcPr>
            <w:tcW w:w="1050" w:type="dxa"/>
            <w:tcBorders>
              <w:top w:val="single" w:color="auto" w:sz="4" w:space="0"/>
              <w:left w:val="single" w:color="auto" w:sz="4" w:space="0"/>
              <w:bottom w:val="single" w:color="auto" w:sz="4" w:space="0"/>
              <w:right w:val="single" w:color="000000" w:sz="4" w:space="0"/>
            </w:tcBorders>
            <w:shd w:val="clear" w:color="auto" w:fill="auto"/>
            <w:vAlign w:val="center"/>
          </w:tcPr>
          <w:p w14:paraId="59C4F90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服务承诺及突发事件处理措施</w:t>
            </w:r>
          </w:p>
        </w:tc>
        <w:tc>
          <w:tcPr>
            <w:tcW w:w="4539" w:type="dxa"/>
            <w:tcBorders>
              <w:top w:val="single" w:color="auto" w:sz="4" w:space="0"/>
              <w:left w:val="single" w:color="000000" w:sz="4" w:space="0"/>
              <w:bottom w:val="single" w:color="auto" w:sz="4" w:space="0"/>
              <w:right w:val="single" w:color="000000" w:sz="4" w:space="0"/>
            </w:tcBorders>
            <w:shd w:val="clear" w:color="auto" w:fill="auto"/>
            <w:vAlign w:val="center"/>
          </w:tcPr>
          <w:p w14:paraId="74933AAA">
            <w:pPr>
              <w:rPr>
                <w:rFonts w:ascii="仿宋" w:hAnsi="仿宋" w:eastAsia="仿宋" w:cs="仿宋"/>
                <w:color w:val="000000"/>
                <w:sz w:val="20"/>
                <w:szCs w:val="20"/>
              </w:rPr>
            </w:pPr>
            <w:r>
              <w:rPr>
                <w:rFonts w:hint="eastAsia" w:ascii="仿宋" w:hAnsi="仿宋" w:eastAsia="仿宋" w:cs="仿宋"/>
                <w:color w:val="000000"/>
                <w:sz w:val="20"/>
                <w:szCs w:val="20"/>
              </w:rPr>
              <w:t>根据响应文件中对本项目的服务承诺全面、完整性以及应对突发事件处理措施得当性、各项工作规章制度健全性综合评分。</w:t>
            </w:r>
          </w:p>
          <w:p w14:paraId="4F3E8EE2">
            <w:pPr>
              <w:rPr>
                <w:rFonts w:ascii="仿宋" w:hAnsi="仿宋" w:eastAsia="仿宋" w:cs="仿宋"/>
                <w:color w:val="000000"/>
                <w:sz w:val="20"/>
                <w:szCs w:val="20"/>
              </w:rPr>
            </w:pPr>
            <w:r>
              <w:rPr>
                <w:rFonts w:hint="eastAsia" w:ascii="仿宋" w:hAnsi="仿宋" w:eastAsia="仿宋" w:cs="仿宋"/>
                <w:color w:val="000000"/>
                <w:sz w:val="20"/>
                <w:szCs w:val="20"/>
              </w:rPr>
              <w:t>1.服务承诺</w:t>
            </w:r>
          </w:p>
          <w:p w14:paraId="2DFC4926">
            <w:pPr>
              <w:rPr>
                <w:rFonts w:ascii="仿宋" w:hAnsi="仿宋" w:eastAsia="仿宋" w:cs="仿宋"/>
                <w:color w:val="000000"/>
                <w:sz w:val="20"/>
                <w:szCs w:val="20"/>
              </w:rPr>
            </w:pPr>
            <w:r>
              <w:rPr>
                <w:rFonts w:hint="eastAsia" w:ascii="仿宋" w:hAnsi="仿宋" w:eastAsia="仿宋" w:cs="仿宋"/>
                <w:color w:val="000000"/>
                <w:sz w:val="20"/>
                <w:szCs w:val="20"/>
              </w:rPr>
              <w:t>（1）服务承诺全面完整，满足或优于本项目采购需求，针对性、实用性强的，得5分；</w:t>
            </w:r>
          </w:p>
          <w:p w14:paraId="428EF080">
            <w:pPr>
              <w:rPr>
                <w:rFonts w:ascii="仿宋" w:hAnsi="仿宋" w:eastAsia="仿宋" w:cs="仿宋"/>
                <w:color w:val="000000"/>
                <w:sz w:val="20"/>
                <w:szCs w:val="20"/>
              </w:rPr>
            </w:pPr>
            <w:r>
              <w:rPr>
                <w:rFonts w:hint="eastAsia" w:ascii="仿宋" w:hAnsi="仿宋" w:eastAsia="仿宋" w:cs="仿宋"/>
                <w:color w:val="000000"/>
                <w:sz w:val="20"/>
                <w:szCs w:val="20"/>
              </w:rPr>
              <w:t>（2）服务承诺较全面，基本满足本项目采购需求，针对性、实用性较强的，得3分；</w:t>
            </w:r>
          </w:p>
          <w:p w14:paraId="00AD3319">
            <w:pPr>
              <w:rPr>
                <w:rFonts w:ascii="仿宋" w:hAnsi="仿宋" w:eastAsia="仿宋" w:cs="仿宋"/>
                <w:color w:val="000000"/>
                <w:sz w:val="20"/>
                <w:szCs w:val="20"/>
              </w:rPr>
            </w:pPr>
            <w:r>
              <w:rPr>
                <w:rFonts w:hint="eastAsia" w:ascii="仿宋" w:hAnsi="仿宋" w:eastAsia="仿宋" w:cs="仿宋"/>
                <w:color w:val="000000"/>
                <w:sz w:val="20"/>
                <w:szCs w:val="20"/>
              </w:rPr>
              <w:t>（3）服务承诺有待完善的，得1分；</w:t>
            </w:r>
          </w:p>
          <w:p w14:paraId="0F8DFC55">
            <w:pPr>
              <w:rPr>
                <w:rFonts w:ascii="仿宋" w:hAnsi="仿宋" w:eastAsia="仿宋" w:cs="仿宋"/>
                <w:color w:val="000000"/>
                <w:sz w:val="20"/>
                <w:szCs w:val="20"/>
              </w:rPr>
            </w:pPr>
            <w:r>
              <w:rPr>
                <w:rFonts w:hint="eastAsia" w:ascii="仿宋" w:hAnsi="仿宋" w:eastAsia="仿宋" w:cs="仿宋"/>
                <w:color w:val="000000"/>
                <w:sz w:val="20"/>
                <w:szCs w:val="20"/>
              </w:rPr>
              <w:t>（4）差或未提供相关内容的不得分。</w:t>
            </w:r>
          </w:p>
          <w:p w14:paraId="55160FD6">
            <w:pPr>
              <w:rPr>
                <w:rFonts w:ascii="仿宋" w:hAnsi="仿宋" w:eastAsia="仿宋" w:cs="仿宋"/>
                <w:color w:val="000000"/>
                <w:sz w:val="20"/>
                <w:szCs w:val="20"/>
              </w:rPr>
            </w:pPr>
            <w:r>
              <w:rPr>
                <w:rFonts w:hint="eastAsia" w:ascii="仿宋" w:hAnsi="仿宋" w:eastAsia="仿宋" w:cs="仿宋"/>
                <w:color w:val="000000"/>
                <w:sz w:val="20"/>
                <w:szCs w:val="20"/>
              </w:rPr>
              <w:t>2.突发事件处理措施</w:t>
            </w:r>
          </w:p>
          <w:p w14:paraId="4A6A6A9B">
            <w:pPr>
              <w:rPr>
                <w:rFonts w:ascii="仿宋" w:hAnsi="仿宋" w:eastAsia="仿宋" w:cs="仿宋"/>
                <w:color w:val="000000"/>
                <w:sz w:val="20"/>
                <w:szCs w:val="20"/>
              </w:rPr>
            </w:pPr>
            <w:r>
              <w:rPr>
                <w:rFonts w:hint="eastAsia" w:ascii="仿宋" w:hAnsi="仿宋" w:eastAsia="仿宋" w:cs="仿宋"/>
                <w:color w:val="000000"/>
                <w:sz w:val="20"/>
                <w:szCs w:val="20"/>
              </w:rPr>
              <w:t>（1）处理措施得当、规章制度健全，满足或优于本项目采购需求，针对性、实用性强的，得5分；</w:t>
            </w:r>
          </w:p>
          <w:p w14:paraId="6F88A701">
            <w:pPr>
              <w:rPr>
                <w:rFonts w:ascii="仿宋" w:hAnsi="仿宋" w:eastAsia="仿宋" w:cs="仿宋"/>
                <w:color w:val="000000"/>
                <w:sz w:val="20"/>
                <w:szCs w:val="20"/>
              </w:rPr>
            </w:pPr>
            <w:r>
              <w:rPr>
                <w:rFonts w:hint="eastAsia" w:ascii="仿宋" w:hAnsi="仿宋" w:eastAsia="仿宋" w:cs="仿宋"/>
                <w:color w:val="000000"/>
                <w:sz w:val="20"/>
                <w:szCs w:val="20"/>
              </w:rPr>
              <w:t>（2处理措施较得当、规章制度较健全，基本满足本项目采购需求，针对性、实用性较强的，得3分；</w:t>
            </w:r>
          </w:p>
          <w:p w14:paraId="687BC460">
            <w:pPr>
              <w:rPr>
                <w:rFonts w:ascii="仿宋" w:hAnsi="仿宋" w:eastAsia="仿宋" w:cs="仿宋"/>
                <w:color w:val="000000"/>
                <w:sz w:val="20"/>
                <w:szCs w:val="20"/>
              </w:rPr>
            </w:pPr>
            <w:r>
              <w:rPr>
                <w:rFonts w:hint="eastAsia" w:ascii="仿宋" w:hAnsi="仿宋" w:eastAsia="仿宋" w:cs="仿宋"/>
                <w:color w:val="000000"/>
                <w:sz w:val="20"/>
                <w:szCs w:val="20"/>
              </w:rPr>
              <w:t>（3）处理措施有待完善的，得1分；</w:t>
            </w:r>
          </w:p>
          <w:p w14:paraId="6F29902E">
            <w:pPr>
              <w:rPr>
                <w:rFonts w:ascii="仿宋" w:hAnsi="仿宋" w:eastAsia="仿宋" w:cs="仿宋"/>
                <w:color w:val="000000"/>
                <w:sz w:val="20"/>
                <w:szCs w:val="20"/>
              </w:rPr>
            </w:pPr>
            <w:r>
              <w:rPr>
                <w:rFonts w:hint="eastAsia" w:ascii="仿宋" w:hAnsi="仿宋" w:eastAsia="仿宋" w:cs="仿宋"/>
                <w:color w:val="000000"/>
                <w:sz w:val="20"/>
                <w:szCs w:val="20"/>
              </w:rPr>
              <w:t>（4）差或未提供相关内容的不得分。</w:t>
            </w:r>
          </w:p>
        </w:tc>
        <w:tc>
          <w:tcPr>
            <w:tcW w:w="1529" w:type="dxa"/>
            <w:tcBorders>
              <w:top w:val="single" w:color="auto" w:sz="4" w:space="0"/>
              <w:left w:val="single" w:color="000000" w:sz="4" w:space="0"/>
              <w:bottom w:val="single" w:color="auto" w:sz="4" w:space="0"/>
              <w:right w:val="single" w:color="000000" w:sz="4" w:space="0"/>
            </w:tcBorders>
            <w:shd w:val="clear" w:color="auto" w:fill="auto"/>
            <w:vAlign w:val="center"/>
          </w:tcPr>
          <w:p w14:paraId="288D37D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0-10分</w:t>
            </w:r>
          </w:p>
        </w:tc>
      </w:tr>
      <w:tr w14:paraId="674585FA">
        <w:tblPrEx>
          <w:tblCellMar>
            <w:top w:w="0" w:type="dxa"/>
            <w:left w:w="108" w:type="dxa"/>
            <w:bottom w:w="0" w:type="dxa"/>
            <w:right w:w="108" w:type="dxa"/>
          </w:tblCellMar>
        </w:tblPrEx>
        <w:trPr>
          <w:trHeight w:val="623" w:hRule="atLeast"/>
          <w:jc w:val="center"/>
        </w:trPr>
        <w:tc>
          <w:tcPr>
            <w:tcW w:w="1195" w:type="dxa"/>
            <w:vMerge w:val="restart"/>
            <w:tcBorders>
              <w:left w:val="single" w:color="000000" w:sz="4" w:space="0"/>
              <w:right w:val="single" w:color="auto" w:sz="4" w:space="0"/>
            </w:tcBorders>
            <w:shd w:val="clear" w:color="auto" w:fill="auto"/>
            <w:vAlign w:val="center"/>
          </w:tcPr>
          <w:p w14:paraId="4619BC14">
            <w:pPr>
              <w:widowControl/>
              <w:jc w:val="center"/>
              <w:textAlignment w:val="center"/>
              <w:rPr>
                <w:rFonts w:ascii="仿宋" w:hAnsi="仿宋" w:eastAsia="仿宋" w:cs="仿宋"/>
                <w:b/>
                <w:bCs/>
                <w:color w:val="000000"/>
                <w:kern w:val="0"/>
                <w:sz w:val="20"/>
                <w:szCs w:val="20"/>
                <w:lang w:bidi="ar"/>
              </w:rPr>
            </w:pPr>
          </w:p>
          <w:p w14:paraId="64511FDC">
            <w:pPr>
              <w:widowControl/>
              <w:jc w:val="center"/>
              <w:textAlignment w:val="center"/>
              <w:rPr>
                <w:rFonts w:ascii="仿宋" w:hAnsi="仿宋" w:eastAsia="仿宋" w:cs="仿宋"/>
                <w:b/>
                <w:bCs/>
                <w:color w:val="000000"/>
                <w:kern w:val="0"/>
                <w:sz w:val="20"/>
                <w:szCs w:val="20"/>
                <w:lang w:bidi="ar"/>
              </w:rPr>
            </w:pPr>
          </w:p>
          <w:p w14:paraId="17401789">
            <w:pPr>
              <w:widowControl/>
              <w:jc w:val="center"/>
              <w:textAlignment w:val="center"/>
              <w:rPr>
                <w:rFonts w:ascii="仿宋" w:hAnsi="仿宋" w:eastAsia="仿宋" w:cs="仿宋"/>
                <w:b/>
                <w:bCs/>
                <w:color w:val="000000"/>
                <w:kern w:val="0"/>
                <w:sz w:val="20"/>
                <w:szCs w:val="20"/>
                <w:lang w:bidi="ar"/>
              </w:rPr>
            </w:pPr>
          </w:p>
          <w:p w14:paraId="10D3A9BB">
            <w:pPr>
              <w:widowControl/>
              <w:jc w:val="center"/>
              <w:textAlignment w:val="center"/>
              <w:rPr>
                <w:rFonts w:ascii="仿宋" w:hAnsi="仿宋" w:eastAsia="仿宋" w:cs="仿宋"/>
                <w:b/>
                <w:bCs/>
                <w:color w:val="000000"/>
                <w:kern w:val="0"/>
                <w:sz w:val="20"/>
                <w:szCs w:val="20"/>
                <w:lang w:bidi="ar"/>
              </w:rPr>
            </w:pPr>
          </w:p>
          <w:p w14:paraId="23231EF0">
            <w:pPr>
              <w:widowControl/>
              <w:jc w:val="center"/>
              <w:textAlignment w:val="center"/>
              <w:rPr>
                <w:rFonts w:ascii="仿宋" w:hAnsi="仿宋" w:eastAsia="仿宋" w:cs="仿宋"/>
                <w:b/>
                <w:bCs/>
                <w:color w:val="000000"/>
                <w:kern w:val="0"/>
                <w:sz w:val="20"/>
                <w:szCs w:val="20"/>
                <w:lang w:bidi="ar"/>
              </w:rPr>
            </w:pPr>
          </w:p>
          <w:p w14:paraId="156692EA">
            <w:pPr>
              <w:widowControl/>
              <w:jc w:val="center"/>
              <w:textAlignment w:val="center"/>
              <w:rPr>
                <w:rFonts w:ascii="仿宋" w:hAnsi="仿宋" w:eastAsia="仿宋" w:cs="仿宋"/>
                <w:b/>
                <w:bCs/>
                <w:color w:val="000000"/>
                <w:kern w:val="0"/>
                <w:sz w:val="20"/>
                <w:szCs w:val="20"/>
                <w:lang w:bidi="ar"/>
              </w:rPr>
            </w:pPr>
          </w:p>
          <w:p w14:paraId="1B1ED78D">
            <w:pPr>
              <w:widowControl/>
              <w:jc w:val="center"/>
              <w:textAlignment w:val="center"/>
              <w:rPr>
                <w:rFonts w:ascii="仿宋" w:hAnsi="仿宋" w:eastAsia="仿宋" w:cs="仿宋"/>
                <w:b/>
                <w:bCs/>
                <w:color w:val="000000"/>
                <w:kern w:val="0"/>
                <w:sz w:val="20"/>
                <w:szCs w:val="20"/>
                <w:lang w:bidi="ar"/>
              </w:rPr>
            </w:pPr>
          </w:p>
          <w:p w14:paraId="09400D13">
            <w:pPr>
              <w:widowControl/>
              <w:jc w:val="center"/>
              <w:textAlignment w:val="center"/>
              <w:rPr>
                <w:rFonts w:ascii="仿宋" w:hAnsi="仿宋" w:eastAsia="仿宋" w:cs="仿宋"/>
                <w:b/>
                <w:bCs/>
                <w:color w:val="000000"/>
                <w:kern w:val="0"/>
                <w:sz w:val="20"/>
                <w:szCs w:val="20"/>
                <w:lang w:bidi="ar"/>
              </w:rPr>
            </w:pPr>
          </w:p>
          <w:p w14:paraId="79424500">
            <w:pPr>
              <w:widowControl/>
              <w:jc w:val="center"/>
              <w:textAlignment w:val="center"/>
              <w:rPr>
                <w:rFonts w:ascii="仿宋" w:hAnsi="仿宋" w:eastAsia="仿宋" w:cs="仿宋"/>
                <w:b/>
                <w:bCs/>
                <w:color w:val="000000"/>
                <w:kern w:val="0"/>
                <w:sz w:val="20"/>
                <w:szCs w:val="20"/>
                <w:lang w:bidi="ar"/>
              </w:rPr>
            </w:pPr>
          </w:p>
          <w:p w14:paraId="7E5E0C8E">
            <w:pPr>
              <w:widowControl/>
              <w:jc w:val="center"/>
              <w:textAlignment w:val="center"/>
              <w:rPr>
                <w:rFonts w:ascii="仿宋" w:hAnsi="仿宋" w:eastAsia="仿宋" w:cs="仿宋"/>
                <w:b/>
                <w:bCs/>
                <w:color w:val="000000"/>
                <w:kern w:val="0"/>
                <w:sz w:val="20"/>
                <w:szCs w:val="20"/>
                <w:lang w:bidi="ar"/>
              </w:rPr>
            </w:pPr>
          </w:p>
          <w:p w14:paraId="791491A7">
            <w:pPr>
              <w:widowControl/>
              <w:jc w:val="center"/>
              <w:textAlignment w:val="center"/>
              <w:rPr>
                <w:rFonts w:ascii="仿宋" w:hAnsi="仿宋" w:eastAsia="仿宋" w:cs="仿宋"/>
                <w:b/>
                <w:bCs/>
                <w:color w:val="000000"/>
                <w:kern w:val="0"/>
                <w:sz w:val="20"/>
                <w:szCs w:val="20"/>
                <w:lang w:bidi="ar"/>
              </w:rPr>
            </w:pPr>
          </w:p>
          <w:p w14:paraId="2524AD6E">
            <w:pPr>
              <w:widowControl/>
              <w:jc w:val="center"/>
              <w:textAlignment w:val="center"/>
              <w:rPr>
                <w:rFonts w:ascii="仿宋" w:hAnsi="仿宋" w:eastAsia="仿宋" w:cs="仿宋"/>
                <w:b/>
                <w:bCs/>
                <w:color w:val="000000"/>
                <w:kern w:val="0"/>
                <w:sz w:val="20"/>
                <w:szCs w:val="20"/>
                <w:lang w:bidi="ar"/>
              </w:rPr>
            </w:pPr>
          </w:p>
          <w:p w14:paraId="0B1E0EE2">
            <w:pPr>
              <w:widowControl/>
              <w:jc w:val="center"/>
              <w:textAlignment w:val="center"/>
              <w:rPr>
                <w:rFonts w:ascii="仿宋" w:hAnsi="仿宋" w:eastAsia="仿宋" w:cs="仿宋"/>
                <w:b/>
                <w:bCs/>
                <w:color w:val="000000"/>
                <w:kern w:val="0"/>
                <w:sz w:val="20"/>
                <w:szCs w:val="20"/>
                <w:lang w:bidi="ar"/>
              </w:rPr>
            </w:pPr>
          </w:p>
          <w:p w14:paraId="1B2DB73D">
            <w:pPr>
              <w:widowControl/>
              <w:jc w:val="center"/>
              <w:textAlignment w:val="center"/>
              <w:rPr>
                <w:rFonts w:ascii="仿宋" w:hAnsi="仿宋" w:eastAsia="仿宋" w:cs="仿宋"/>
                <w:b/>
                <w:bCs/>
                <w:color w:val="000000"/>
                <w:kern w:val="0"/>
                <w:sz w:val="20"/>
                <w:szCs w:val="20"/>
                <w:lang w:bidi="ar"/>
              </w:rPr>
            </w:pPr>
          </w:p>
          <w:p w14:paraId="43DB6F69">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价格部分</w:t>
            </w:r>
          </w:p>
          <w:p w14:paraId="544DD73A">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（55分）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9469BDE">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设备承诺</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34D67EA6">
            <w:pPr>
              <w:rPr>
                <w:rFonts w:ascii="仿宋" w:hAnsi="仿宋" w:eastAsia="仿宋" w:cs="仿宋"/>
                <w:color w:val="000000"/>
                <w:sz w:val="20"/>
                <w:szCs w:val="20"/>
              </w:rPr>
            </w:pPr>
            <w:r>
              <w:rPr>
                <w:rFonts w:hint="eastAsia" w:ascii="仿宋" w:hAnsi="仿宋" w:eastAsia="仿宋" w:cs="仿宋"/>
                <w:color w:val="000000"/>
                <w:sz w:val="20"/>
                <w:szCs w:val="20"/>
              </w:rPr>
              <w:t>投标人承诺在服务期间</w:t>
            </w:r>
            <w:r>
              <w:rPr>
                <w:rFonts w:hint="eastAsia" w:ascii="仿宋" w:hAnsi="仿宋" w:eastAsia="仿宋" w:cs="仿宋"/>
                <w:color w:val="000000"/>
                <w:sz w:val="20"/>
                <w:szCs w:val="20"/>
                <w:lang w:bidi="ar"/>
              </w:rPr>
              <w:t>维护消防设施设备完好，如因乙方原因造成甲方设备损坏、丢失或由此造成甲方经营损失，乙方应承担全部责任，并作相应赔偿</w:t>
            </w:r>
            <w:r>
              <w:rPr>
                <w:rFonts w:hint="eastAsia" w:ascii="仿宋" w:hAnsi="仿宋" w:eastAsia="仿宋" w:cs="仿宋"/>
                <w:color w:val="000000"/>
                <w:sz w:val="20"/>
                <w:szCs w:val="20"/>
              </w:rPr>
              <w:t>，未承诺的不得分。（格式自拟）</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23C56878">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分</w:t>
            </w:r>
          </w:p>
        </w:tc>
      </w:tr>
      <w:tr w14:paraId="26DE1B13">
        <w:tblPrEx>
          <w:tblCellMar>
            <w:top w:w="0" w:type="dxa"/>
            <w:left w:w="108" w:type="dxa"/>
            <w:bottom w:w="0" w:type="dxa"/>
            <w:right w:w="108" w:type="dxa"/>
          </w:tblCellMar>
        </w:tblPrEx>
        <w:trPr>
          <w:trHeight w:val="1875" w:hRule="atLeast"/>
          <w:jc w:val="center"/>
        </w:trPr>
        <w:tc>
          <w:tcPr>
            <w:tcW w:w="1195" w:type="dxa"/>
            <w:vMerge w:val="continue"/>
            <w:tcBorders>
              <w:left w:val="single" w:color="000000" w:sz="4" w:space="0"/>
              <w:right w:val="single" w:color="auto" w:sz="4" w:space="0"/>
            </w:tcBorders>
            <w:shd w:val="clear" w:color="auto" w:fill="auto"/>
            <w:vAlign w:val="center"/>
          </w:tcPr>
          <w:p w14:paraId="7131C579">
            <w:pPr>
              <w:widowControl/>
              <w:jc w:val="center"/>
              <w:textAlignment w:val="center"/>
              <w:rPr>
                <w:rFonts w:ascii="仿宋" w:hAnsi="仿宋" w:eastAsia="仿宋" w:cs="仿宋"/>
                <w:b/>
                <w:bCs/>
                <w:color w:val="000000"/>
                <w:kern w:val="0"/>
                <w:sz w:val="20"/>
                <w:szCs w:val="20"/>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D71A440">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培训方案及管理制度方案</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BB6F74E">
            <w:pPr>
              <w:rPr>
                <w:rFonts w:ascii="仿宋" w:hAnsi="仿宋" w:eastAsia="仿宋" w:cs="仿宋"/>
                <w:color w:val="000000"/>
                <w:sz w:val="20"/>
                <w:szCs w:val="20"/>
              </w:rPr>
            </w:pPr>
            <w:r>
              <w:rPr>
                <w:rFonts w:hint="eastAsia" w:ascii="仿宋" w:hAnsi="仿宋" w:eastAsia="仿宋" w:cs="仿宋"/>
                <w:color w:val="000000"/>
                <w:sz w:val="20"/>
                <w:szCs w:val="20"/>
              </w:rPr>
              <w:t>投标人根据本项目需求制定各项培训方案，内容包括但不限于消防控制室人员、值班巡逻人员、全体工作人员、重点防护部位人员及安全管理人员等培训方案，由评标委员会进行综合评审。</w:t>
            </w:r>
          </w:p>
          <w:p w14:paraId="253A2CD3">
            <w:pPr>
              <w:rPr>
                <w:rFonts w:ascii="仿宋" w:hAnsi="仿宋" w:eastAsia="仿宋" w:cs="仿宋"/>
                <w:color w:val="000000"/>
                <w:sz w:val="20"/>
                <w:szCs w:val="20"/>
              </w:rPr>
            </w:pPr>
            <w:r>
              <w:rPr>
                <w:rFonts w:hint="eastAsia" w:ascii="仿宋" w:hAnsi="仿宋" w:eastAsia="仿宋" w:cs="仿宋"/>
                <w:color w:val="000000"/>
                <w:sz w:val="20"/>
                <w:szCs w:val="20"/>
              </w:rPr>
              <w:t>1.培训方案内容完善，满足或优于本项目实际需求、可行性和专业性强的，得5分；</w:t>
            </w:r>
          </w:p>
          <w:p w14:paraId="43D66B0D">
            <w:pPr>
              <w:rPr>
                <w:rFonts w:ascii="仿宋" w:hAnsi="仿宋" w:eastAsia="仿宋" w:cs="仿宋"/>
                <w:color w:val="000000"/>
                <w:sz w:val="20"/>
                <w:szCs w:val="20"/>
              </w:rPr>
            </w:pPr>
            <w:r>
              <w:rPr>
                <w:rFonts w:hint="eastAsia" w:ascii="仿宋" w:hAnsi="仿宋" w:eastAsia="仿宋" w:cs="仿宋"/>
                <w:color w:val="000000"/>
                <w:sz w:val="20"/>
                <w:szCs w:val="20"/>
              </w:rPr>
              <w:t>2.培训方案内容较完善，适用本项目实际需求、具有一定可行性和专业性的，得3分；</w:t>
            </w:r>
          </w:p>
          <w:p w14:paraId="13D5A7BE">
            <w:pPr>
              <w:rPr>
                <w:rFonts w:ascii="仿宋" w:hAnsi="仿宋" w:eastAsia="仿宋" w:cs="仿宋"/>
                <w:color w:val="000000"/>
                <w:sz w:val="20"/>
                <w:szCs w:val="20"/>
              </w:rPr>
            </w:pPr>
            <w:r>
              <w:rPr>
                <w:rFonts w:hint="eastAsia" w:ascii="仿宋" w:hAnsi="仿宋" w:eastAsia="仿宋" w:cs="仿宋"/>
                <w:color w:val="000000"/>
                <w:sz w:val="20"/>
                <w:szCs w:val="20"/>
              </w:rPr>
              <w:t>3.培训方案有待提升完善，可行性和专业性有待提高的，得1分；</w:t>
            </w:r>
          </w:p>
          <w:p w14:paraId="0690EB95">
            <w:pPr>
              <w:rPr>
                <w:rFonts w:ascii="仿宋" w:hAnsi="仿宋" w:eastAsia="仿宋" w:cs="仿宋"/>
                <w:color w:val="000000"/>
                <w:sz w:val="20"/>
                <w:szCs w:val="20"/>
              </w:rPr>
            </w:pPr>
            <w:r>
              <w:rPr>
                <w:rFonts w:hint="eastAsia" w:ascii="仿宋" w:hAnsi="仿宋" w:eastAsia="仿宋" w:cs="仿宋"/>
                <w:color w:val="000000"/>
                <w:sz w:val="20"/>
                <w:szCs w:val="20"/>
              </w:rPr>
              <w:t>4.不可行或未提供相关内容的不得分。</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00AA7884">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分</w:t>
            </w:r>
          </w:p>
        </w:tc>
      </w:tr>
      <w:tr w14:paraId="1F928D2A">
        <w:tblPrEx>
          <w:tblCellMar>
            <w:top w:w="0" w:type="dxa"/>
            <w:left w:w="108" w:type="dxa"/>
            <w:bottom w:w="0" w:type="dxa"/>
            <w:right w:w="108" w:type="dxa"/>
          </w:tblCellMar>
        </w:tblPrEx>
        <w:trPr>
          <w:trHeight w:val="1875" w:hRule="atLeast"/>
          <w:jc w:val="center"/>
        </w:trPr>
        <w:tc>
          <w:tcPr>
            <w:tcW w:w="1195" w:type="dxa"/>
            <w:vMerge w:val="continue"/>
            <w:tcBorders>
              <w:left w:val="single" w:color="000000" w:sz="4" w:space="0"/>
              <w:bottom w:val="single" w:color="000000" w:sz="4" w:space="0"/>
              <w:right w:val="single" w:color="auto" w:sz="4" w:space="0"/>
            </w:tcBorders>
            <w:shd w:val="clear" w:color="auto" w:fill="auto"/>
            <w:vAlign w:val="center"/>
          </w:tcPr>
          <w:p w14:paraId="31C16772">
            <w:pPr>
              <w:widowControl/>
              <w:jc w:val="center"/>
              <w:textAlignment w:val="center"/>
              <w:rPr>
                <w:rFonts w:ascii="仿宋" w:hAnsi="仿宋" w:eastAsia="仿宋" w:cs="仿宋"/>
                <w:b/>
                <w:bCs/>
                <w:color w:val="000000"/>
                <w:kern w:val="0"/>
                <w:sz w:val="20"/>
                <w:szCs w:val="20"/>
                <w:lang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AA4097">
            <w:pPr>
              <w:widowControl/>
              <w:jc w:val="center"/>
              <w:textAlignment w:val="center"/>
              <w:rPr>
                <w:rFonts w:ascii="仿宋" w:hAnsi="仿宋" w:eastAsia="仿宋" w:cs="仿宋"/>
                <w:b/>
                <w:bCs/>
                <w:color w:val="000000"/>
                <w:kern w:val="0"/>
                <w:sz w:val="20"/>
                <w:szCs w:val="20"/>
                <w:lang w:bidi="ar"/>
              </w:rPr>
            </w:pPr>
            <w:r>
              <w:rPr>
                <w:rFonts w:hint="eastAsia" w:ascii="仿宋" w:hAnsi="仿宋" w:eastAsia="仿宋" w:cs="仿宋"/>
                <w:b/>
                <w:bCs/>
                <w:sz w:val="20"/>
                <w:szCs w:val="20"/>
              </w:rPr>
              <w:t>综合评估法（一次平均法）</w:t>
            </w:r>
          </w:p>
        </w:tc>
        <w:tc>
          <w:tcPr>
            <w:tcW w:w="4539" w:type="dxa"/>
            <w:tcBorders>
              <w:top w:val="single" w:color="auto" w:sz="4" w:space="0"/>
              <w:left w:val="single" w:color="000000" w:sz="4" w:space="0"/>
              <w:bottom w:val="single" w:color="000000" w:sz="4" w:space="0"/>
              <w:right w:val="single" w:color="000000" w:sz="4" w:space="0"/>
            </w:tcBorders>
            <w:shd w:val="clear" w:color="auto" w:fill="auto"/>
            <w:vAlign w:val="center"/>
          </w:tcPr>
          <w:p w14:paraId="74AC903C">
            <w:pPr>
              <w:spacing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1）确定评标价</w:t>
            </w:r>
            <w:r>
              <w:rPr>
                <w:rFonts w:hint="eastAsia" w:ascii="仿宋" w:hAnsi="仿宋" w:eastAsia="仿宋" w:cs="仿宋"/>
                <w:sz w:val="20"/>
                <w:szCs w:val="20"/>
              </w:rPr>
              <w:br w:type="textWrapping"/>
            </w:r>
            <w:r>
              <w:rPr>
                <w:rFonts w:hint="eastAsia" w:ascii="仿宋" w:hAnsi="仿宋" w:eastAsia="仿宋" w:cs="仿宋"/>
                <w:sz w:val="20"/>
                <w:szCs w:val="20"/>
              </w:rPr>
              <w:t>评标价=投标函文字报价；</w:t>
            </w:r>
            <w:r>
              <w:rPr>
                <w:rFonts w:hint="eastAsia" w:ascii="仿宋" w:hAnsi="仿宋" w:eastAsia="仿宋" w:cs="仿宋"/>
                <w:sz w:val="20"/>
                <w:szCs w:val="20"/>
              </w:rPr>
              <w:br w:type="textWrapping"/>
            </w:r>
            <w:r>
              <w:rPr>
                <w:rFonts w:hint="eastAsia" w:ascii="仿宋" w:hAnsi="仿宋" w:eastAsia="仿宋" w:cs="仿宋"/>
                <w:sz w:val="20"/>
                <w:szCs w:val="20"/>
              </w:rPr>
              <w:t xml:space="preserve">    2）评标价平均值计算</w:t>
            </w:r>
            <w:r>
              <w:rPr>
                <w:rFonts w:hint="eastAsia" w:ascii="仿宋" w:hAnsi="仿宋" w:eastAsia="仿宋" w:cs="仿宋"/>
                <w:sz w:val="20"/>
                <w:szCs w:val="20"/>
              </w:rPr>
              <w:br w:type="textWrapping"/>
            </w:r>
            <w:r>
              <w:rPr>
                <w:rFonts w:hint="eastAsia" w:ascii="仿宋" w:hAnsi="仿宋" w:eastAsia="仿宋" w:cs="仿宋"/>
                <w:sz w:val="20"/>
                <w:szCs w:val="20"/>
              </w:rPr>
              <w:t xml:space="preserve">   对所有通过商务及技术文件初步评审且不高于最高投标限价的投标人投标函文字报价按照由低到高进行排序，去除n个较高投标函文字报价和n个较低投标函文字报价后，取其他投标函文字报价进行算术平均得出平均值。设通过商务及技术文件初步评审且不高于最高投标限价的投标人数量为X，n按照以下规定取值：</w:t>
            </w:r>
          </w:p>
          <w:p w14:paraId="63E2FA4A">
            <w:pPr>
              <w:spacing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（1）当X≤5，n=0；</w:t>
            </w:r>
          </w:p>
          <w:p w14:paraId="738EF1E4">
            <w:pPr>
              <w:spacing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（2）当5＜X≤10，n=1；</w:t>
            </w:r>
          </w:p>
          <w:p w14:paraId="78A3E979">
            <w:pPr>
              <w:spacing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（3）当10＜X≤20，n=2；</w:t>
            </w:r>
          </w:p>
          <w:p w14:paraId="58745941">
            <w:pPr>
              <w:spacing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（4）当20＜X≤30，n=3；以此类推。</w:t>
            </w:r>
          </w:p>
          <w:p w14:paraId="7713737E">
            <w:pPr>
              <w:ind w:firstLine="400" w:firstLineChars="200"/>
              <w:rPr>
                <w:rFonts w:hint="eastAsia" w:ascii="仿宋" w:hAnsi="仿宋" w:eastAsia="仿宋" w:cs="仿宋"/>
                <w:sz w:val="20"/>
                <w:szCs w:val="20"/>
              </w:rPr>
            </w:pPr>
            <w:r>
              <w:rPr>
                <w:rFonts w:hint="eastAsia" w:ascii="仿宋" w:hAnsi="仿宋" w:eastAsia="仿宋" w:cs="仿宋"/>
                <w:sz w:val="20"/>
                <w:szCs w:val="20"/>
              </w:rPr>
              <w:t>3）确定评标基准价</w:t>
            </w:r>
          </w:p>
          <w:p w14:paraId="404291E6">
            <w:pPr>
              <w:ind w:firstLine="400" w:firstLineChars="200"/>
              <w:rPr>
                <w:rFonts w:hint="eastAsia" w:ascii="仿宋" w:hAnsi="仿宋" w:eastAsia="仿宋" w:cs="仿宋"/>
                <w:sz w:val="20"/>
                <w:szCs w:val="20"/>
              </w:rPr>
            </w:pPr>
            <w:r>
              <w:rPr>
                <w:rFonts w:hint="eastAsia" w:ascii="仿宋" w:hAnsi="仿宋" w:eastAsia="仿宋" w:cs="仿宋"/>
                <w:sz w:val="20"/>
                <w:szCs w:val="20"/>
              </w:rPr>
              <w:t>评标基准价=评标价平均值*C值</w:t>
            </w:r>
          </w:p>
          <w:p w14:paraId="54E3F866">
            <w:pPr>
              <w:ind w:firstLine="400" w:firstLineChars="200"/>
              <w:rPr>
                <w:rFonts w:hint="eastAsia" w:ascii="仿宋" w:hAnsi="仿宋" w:eastAsia="仿宋" w:cs="仿宋"/>
                <w:sz w:val="20"/>
                <w:szCs w:val="20"/>
              </w:rPr>
            </w:pPr>
            <w:r>
              <w:rPr>
                <w:rFonts w:hint="eastAsia" w:ascii="仿宋" w:hAnsi="仿宋" w:eastAsia="仿宋" w:cs="仿宋"/>
                <w:sz w:val="20"/>
                <w:szCs w:val="20"/>
              </w:rPr>
              <w:t>C值确定如下：</w:t>
            </w:r>
          </w:p>
          <w:p w14:paraId="48BD44B6">
            <w:pPr>
              <w:ind w:firstLine="400" w:firstLineChars="200"/>
              <w:rPr>
                <w:rFonts w:hint="eastAsia" w:ascii="仿宋" w:hAnsi="仿宋" w:eastAsia="仿宋" w:cs="仿宋"/>
                <w:sz w:val="20"/>
                <w:szCs w:val="20"/>
              </w:rPr>
            </w:pPr>
            <w:r>
              <w:rPr>
                <w:rFonts w:hint="eastAsia" w:ascii="仿宋" w:hAnsi="仿宋" w:eastAsia="仿宋" w:cs="仿宋"/>
                <w:sz w:val="20"/>
                <w:szCs w:val="20"/>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p w14:paraId="2001C3ED">
            <w:pPr>
              <w:rPr>
                <w:rFonts w:hint="eastAsia" w:ascii="仿宋" w:hAnsi="仿宋" w:eastAsia="仿宋" w:cs="仿宋"/>
                <w:sz w:val="20"/>
                <w:szCs w:val="20"/>
              </w:rPr>
            </w:pPr>
          </w:p>
          <w:tbl>
            <w:tblPr>
              <w:tblStyle w:val="11"/>
              <w:tblW w:w="43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9"/>
              <w:gridCol w:w="2193"/>
            </w:tblGrid>
            <w:tr w14:paraId="64C8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2093" w:type="pct"/>
                  <w:tcBorders>
                    <w:top w:val="single" w:color="000000" w:sz="4" w:space="0"/>
                    <w:left w:val="single" w:color="000000" w:sz="4" w:space="0"/>
                    <w:bottom w:val="single" w:color="000000" w:sz="4" w:space="0"/>
                    <w:right w:val="single" w:color="000000" w:sz="4" w:space="0"/>
                    <w:tl2br w:val="single" w:color="auto" w:sz="4" w:space="0"/>
                  </w:tcBorders>
                  <w:vAlign w:val="center"/>
                </w:tcPr>
                <w:p w14:paraId="7EC60B59">
                  <w:pPr>
                    <w:ind w:firstLine="400" w:firstLineChars="200"/>
                    <w:jc w:val="right"/>
                    <w:rPr>
                      <w:rFonts w:hint="eastAsia" w:ascii="仿宋" w:hAnsi="仿宋" w:eastAsia="仿宋" w:cs="仿宋"/>
                      <w:sz w:val="20"/>
                      <w:szCs w:val="20"/>
                    </w:rPr>
                  </w:pPr>
                  <w:r>
                    <w:rPr>
                      <w:rFonts w:hint="eastAsia" w:ascii="仿宋" w:hAnsi="仿宋" w:eastAsia="仿宋" w:cs="仿宋"/>
                      <w:sz w:val="20"/>
                      <w:szCs w:val="20"/>
                    </w:rPr>
                    <w:t>对应的C值</w:t>
                  </w:r>
                </w:p>
                <w:p w14:paraId="0EAE54A3">
                  <w:pPr>
                    <w:ind w:firstLine="400" w:firstLineChars="200"/>
                    <w:rPr>
                      <w:rFonts w:hint="eastAsia" w:ascii="仿宋" w:hAnsi="仿宋" w:eastAsia="仿宋" w:cs="仿宋"/>
                      <w:sz w:val="20"/>
                      <w:szCs w:val="20"/>
                    </w:rPr>
                  </w:pPr>
                  <w:r>
                    <w:rPr>
                      <w:rFonts w:hint="eastAsia" w:ascii="仿宋" w:hAnsi="仿宋" w:eastAsia="仿宋" w:cs="仿宋"/>
                      <w:sz w:val="20"/>
                      <w:szCs w:val="20"/>
                    </w:rPr>
                    <w:t>余数</w:t>
                  </w:r>
                </w:p>
              </w:tc>
              <w:tc>
                <w:tcPr>
                  <w:tcW w:w="2907" w:type="pct"/>
                  <w:tcBorders>
                    <w:top w:val="single" w:color="000000" w:sz="4" w:space="0"/>
                    <w:left w:val="single" w:color="auto" w:sz="4" w:space="0"/>
                    <w:bottom w:val="single" w:color="000000" w:sz="4" w:space="0"/>
                    <w:right w:val="single" w:color="000000" w:sz="4" w:space="0"/>
                  </w:tcBorders>
                  <w:vAlign w:val="center"/>
                </w:tcPr>
                <w:p w14:paraId="50F1BC11">
                  <w:pPr>
                    <w:ind w:firstLine="400" w:firstLineChars="200"/>
                    <w:rPr>
                      <w:rFonts w:hint="eastAsia" w:ascii="仿宋" w:hAnsi="仿宋" w:eastAsia="仿宋" w:cs="仿宋"/>
                      <w:sz w:val="20"/>
                      <w:szCs w:val="20"/>
                    </w:rPr>
                  </w:pPr>
                  <w:r>
                    <w:rPr>
                      <w:rFonts w:hint="eastAsia" w:ascii="仿宋" w:hAnsi="仿宋" w:eastAsia="仿宋" w:cs="仿宋"/>
                      <w:sz w:val="20"/>
                      <w:szCs w:val="20"/>
                    </w:rPr>
                    <w:t>C值</w:t>
                  </w:r>
                </w:p>
              </w:tc>
            </w:tr>
            <w:tr w14:paraId="0985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093" w:type="pct"/>
                  <w:tcBorders>
                    <w:top w:val="single" w:color="000000" w:sz="4" w:space="0"/>
                    <w:left w:val="single" w:color="000000" w:sz="4" w:space="0"/>
                    <w:bottom w:val="single" w:color="000000" w:sz="4" w:space="0"/>
                    <w:right w:val="single" w:color="000000" w:sz="4" w:space="0"/>
                  </w:tcBorders>
                  <w:vAlign w:val="center"/>
                </w:tcPr>
                <w:p w14:paraId="050596BD">
                  <w:pPr>
                    <w:ind w:firstLine="400" w:firstLineChars="200"/>
                    <w:rPr>
                      <w:rFonts w:hint="eastAsia" w:ascii="仿宋" w:hAnsi="仿宋" w:eastAsia="仿宋" w:cs="仿宋"/>
                      <w:sz w:val="20"/>
                      <w:szCs w:val="20"/>
                    </w:rPr>
                  </w:pPr>
                  <w:r>
                    <w:rPr>
                      <w:rFonts w:hint="eastAsia" w:ascii="仿宋" w:hAnsi="仿宋" w:eastAsia="仿宋" w:cs="仿宋"/>
                      <w:sz w:val="20"/>
                      <w:szCs w:val="20"/>
                    </w:rPr>
                    <w:t>0</w:t>
                  </w:r>
                </w:p>
              </w:tc>
              <w:tc>
                <w:tcPr>
                  <w:tcW w:w="2907" w:type="pct"/>
                  <w:tcBorders>
                    <w:top w:val="single" w:color="000000" w:sz="4" w:space="0"/>
                    <w:left w:val="single" w:color="auto" w:sz="4" w:space="0"/>
                    <w:bottom w:val="single" w:color="000000" w:sz="4" w:space="0"/>
                    <w:right w:val="single" w:color="000000" w:sz="4" w:space="0"/>
                  </w:tcBorders>
                  <w:vAlign w:val="center"/>
                </w:tcPr>
                <w:p w14:paraId="42747A52">
                  <w:pPr>
                    <w:ind w:firstLine="400" w:firstLineChars="200"/>
                    <w:rPr>
                      <w:rFonts w:hint="eastAsia" w:ascii="仿宋" w:hAnsi="仿宋" w:eastAsia="仿宋" w:cs="仿宋"/>
                      <w:sz w:val="20"/>
                      <w:szCs w:val="20"/>
                    </w:rPr>
                  </w:pPr>
                  <w:r>
                    <w:rPr>
                      <w:rFonts w:hint="eastAsia" w:ascii="仿宋" w:hAnsi="仿宋" w:eastAsia="仿宋" w:cs="仿宋"/>
                      <w:sz w:val="20"/>
                      <w:szCs w:val="20"/>
                    </w:rPr>
                    <w:t>0.95</w:t>
                  </w:r>
                </w:p>
              </w:tc>
            </w:tr>
            <w:tr w14:paraId="3C30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14:paraId="5FF2F3AD">
                  <w:pPr>
                    <w:ind w:firstLine="400" w:firstLineChars="200"/>
                    <w:rPr>
                      <w:rFonts w:hint="eastAsia" w:ascii="仿宋" w:hAnsi="仿宋" w:eastAsia="仿宋" w:cs="仿宋"/>
                      <w:sz w:val="20"/>
                      <w:szCs w:val="20"/>
                    </w:rPr>
                  </w:pPr>
                  <w:r>
                    <w:rPr>
                      <w:rFonts w:hint="eastAsia" w:ascii="仿宋" w:hAnsi="仿宋" w:eastAsia="仿宋" w:cs="仿宋"/>
                      <w:sz w:val="20"/>
                      <w:szCs w:val="20"/>
                    </w:rPr>
                    <w:t>1</w:t>
                  </w:r>
                </w:p>
              </w:tc>
              <w:tc>
                <w:tcPr>
                  <w:tcW w:w="2907" w:type="pct"/>
                  <w:tcBorders>
                    <w:top w:val="single" w:color="000000" w:sz="4" w:space="0"/>
                    <w:left w:val="single" w:color="auto" w:sz="4" w:space="0"/>
                    <w:bottom w:val="single" w:color="000000" w:sz="4" w:space="0"/>
                    <w:right w:val="single" w:color="000000" w:sz="4" w:space="0"/>
                  </w:tcBorders>
                  <w:vAlign w:val="center"/>
                </w:tcPr>
                <w:p w14:paraId="067B1DBA">
                  <w:pPr>
                    <w:ind w:firstLine="400" w:firstLineChars="200"/>
                    <w:rPr>
                      <w:rFonts w:hint="eastAsia" w:ascii="仿宋" w:hAnsi="仿宋" w:eastAsia="仿宋" w:cs="仿宋"/>
                      <w:sz w:val="20"/>
                      <w:szCs w:val="20"/>
                    </w:rPr>
                  </w:pPr>
                  <w:r>
                    <w:rPr>
                      <w:rFonts w:hint="eastAsia" w:ascii="仿宋" w:hAnsi="仿宋" w:eastAsia="仿宋" w:cs="仿宋"/>
                      <w:sz w:val="20"/>
                      <w:szCs w:val="20"/>
                    </w:rPr>
                    <w:t>0.96</w:t>
                  </w:r>
                </w:p>
              </w:tc>
            </w:tr>
            <w:tr w14:paraId="05C0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14:paraId="1AB9C0AA">
                  <w:pPr>
                    <w:ind w:firstLine="400" w:firstLineChars="200"/>
                    <w:rPr>
                      <w:rFonts w:hint="eastAsia" w:ascii="仿宋" w:hAnsi="仿宋" w:eastAsia="仿宋" w:cs="仿宋"/>
                      <w:sz w:val="20"/>
                      <w:szCs w:val="20"/>
                    </w:rPr>
                  </w:pPr>
                  <w:r>
                    <w:rPr>
                      <w:rFonts w:hint="eastAsia" w:ascii="仿宋" w:hAnsi="仿宋" w:eastAsia="仿宋" w:cs="仿宋"/>
                      <w:sz w:val="20"/>
                      <w:szCs w:val="20"/>
                    </w:rPr>
                    <w:t>2</w:t>
                  </w:r>
                </w:p>
              </w:tc>
              <w:tc>
                <w:tcPr>
                  <w:tcW w:w="2907" w:type="pct"/>
                  <w:tcBorders>
                    <w:top w:val="single" w:color="000000" w:sz="4" w:space="0"/>
                    <w:left w:val="single" w:color="auto" w:sz="4" w:space="0"/>
                    <w:bottom w:val="single" w:color="000000" w:sz="4" w:space="0"/>
                    <w:right w:val="single" w:color="000000" w:sz="4" w:space="0"/>
                  </w:tcBorders>
                  <w:vAlign w:val="center"/>
                </w:tcPr>
                <w:p w14:paraId="63210B6E">
                  <w:pPr>
                    <w:ind w:firstLine="400" w:firstLineChars="200"/>
                    <w:rPr>
                      <w:rFonts w:hint="eastAsia" w:ascii="仿宋" w:hAnsi="仿宋" w:eastAsia="仿宋" w:cs="仿宋"/>
                      <w:sz w:val="20"/>
                      <w:szCs w:val="20"/>
                    </w:rPr>
                  </w:pPr>
                  <w:r>
                    <w:rPr>
                      <w:rFonts w:hint="eastAsia" w:ascii="仿宋" w:hAnsi="仿宋" w:eastAsia="仿宋" w:cs="仿宋"/>
                      <w:sz w:val="20"/>
                      <w:szCs w:val="20"/>
                    </w:rPr>
                    <w:t>0.97</w:t>
                  </w:r>
                </w:p>
              </w:tc>
            </w:tr>
            <w:tr w14:paraId="225C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14:paraId="3E70CEEC">
                  <w:pPr>
                    <w:ind w:firstLine="400" w:firstLineChars="200"/>
                    <w:rPr>
                      <w:rFonts w:hint="eastAsia" w:ascii="仿宋" w:hAnsi="仿宋" w:eastAsia="仿宋" w:cs="仿宋"/>
                      <w:sz w:val="20"/>
                      <w:szCs w:val="20"/>
                    </w:rPr>
                  </w:pPr>
                  <w:r>
                    <w:rPr>
                      <w:rFonts w:hint="eastAsia" w:ascii="仿宋" w:hAnsi="仿宋" w:eastAsia="仿宋" w:cs="仿宋"/>
                      <w:sz w:val="20"/>
                      <w:szCs w:val="20"/>
                    </w:rPr>
                    <w:t>3</w:t>
                  </w:r>
                </w:p>
              </w:tc>
              <w:tc>
                <w:tcPr>
                  <w:tcW w:w="2907" w:type="pct"/>
                  <w:tcBorders>
                    <w:top w:val="single" w:color="000000" w:sz="4" w:space="0"/>
                    <w:left w:val="single" w:color="auto" w:sz="4" w:space="0"/>
                    <w:bottom w:val="single" w:color="000000" w:sz="4" w:space="0"/>
                    <w:right w:val="single" w:color="000000" w:sz="4" w:space="0"/>
                  </w:tcBorders>
                  <w:vAlign w:val="center"/>
                </w:tcPr>
                <w:p w14:paraId="08BEFF7E">
                  <w:pPr>
                    <w:ind w:firstLine="400" w:firstLineChars="200"/>
                    <w:rPr>
                      <w:rFonts w:hint="eastAsia" w:ascii="仿宋" w:hAnsi="仿宋" w:eastAsia="仿宋" w:cs="仿宋"/>
                      <w:sz w:val="20"/>
                      <w:szCs w:val="20"/>
                    </w:rPr>
                  </w:pPr>
                  <w:r>
                    <w:rPr>
                      <w:rFonts w:hint="eastAsia" w:ascii="仿宋" w:hAnsi="仿宋" w:eastAsia="仿宋" w:cs="仿宋"/>
                      <w:sz w:val="20"/>
                      <w:szCs w:val="20"/>
                    </w:rPr>
                    <w:t>0.98</w:t>
                  </w:r>
                </w:p>
              </w:tc>
            </w:tr>
            <w:tr w14:paraId="0886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14:paraId="44D2F8D9">
                  <w:pPr>
                    <w:ind w:firstLine="400" w:firstLineChars="200"/>
                    <w:rPr>
                      <w:rFonts w:hint="eastAsia" w:ascii="仿宋" w:hAnsi="仿宋" w:eastAsia="仿宋" w:cs="仿宋"/>
                      <w:sz w:val="20"/>
                      <w:szCs w:val="20"/>
                    </w:rPr>
                  </w:pPr>
                  <w:r>
                    <w:rPr>
                      <w:rFonts w:hint="eastAsia" w:ascii="仿宋" w:hAnsi="仿宋" w:eastAsia="仿宋" w:cs="仿宋"/>
                      <w:sz w:val="20"/>
                      <w:szCs w:val="20"/>
                    </w:rPr>
                    <w:t>4</w:t>
                  </w:r>
                </w:p>
              </w:tc>
              <w:tc>
                <w:tcPr>
                  <w:tcW w:w="2907" w:type="pct"/>
                  <w:tcBorders>
                    <w:top w:val="single" w:color="000000" w:sz="4" w:space="0"/>
                    <w:left w:val="single" w:color="auto" w:sz="4" w:space="0"/>
                    <w:bottom w:val="single" w:color="000000" w:sz="4" w:space="0"/>
                    <w:right w:val="single" w:color="000000" w:sz="4" w:space="0"/>
                  </w:tcBorders>
                  <w:vAlign w:val="center"/>
                </w:tcPr>
                <w:p w14:paraId="6CA17159">
                  <w:pPr>
                    <w:ind w:firstLine="400" w:firstLineChars="200"/>
                    <w:rPr>
                      <w:rFonts w:hint="eastAsia" w:ascii="仿宋" w:hAnsi="仿宋" w:eastAsia="仿宋" w:cs="仿宋"/>
                      <w:sz w:val="20"/>
                      <w:szCs w:val="20"/>
                    </w:rPr>
                  </w:pPr>
                  <w:r>
                    <w:rPr>
                      <w:rFonts w:hint="eastAsia" w:ascii="仿宋" w:hAnsi="仿宋" w:eastAsia="仿宋" w:cs="仿宋"/>
                      <w:sz w:val="20"/>
                      <w:szCs w:val="20"/>
                    </w:rPr>
                    <w:t>0.99</w:t>
                  </w:r>
                </w:p>
              </w:tc>
            </w:tr>
          </w:tbl>
          <w:p w14:paraId="260457C3">
            <w:pPr>
              <w:ind w:firstLine="400" w:firstLineChars="200"/>
              <w:rPr>
                <w:rFonts w:hint="eastAsia" w:ascii="仿宋" w:hAnsi="仿宋" w:eastAsia="仿宋" w:cs="仿宋"/>
                <w:sz w:val="20"/>
                <w:szCs w:val="20"/>
              </w:rPr>
            </w:pPr>
            <w:r>
              <w:rPr>
                <w:rFonts w:hint="eastAsia" w:ascii="仿宋" w:hAnsi="仿宋" w:eastAsia="仿宋" w:cs="仿宋"/>
                <w:sz w:val="20"/>
                <w:szCs w:val="20"/>
              </w:rPr>
              <w:t>在评标过程中，评标委员会应对评标基准价进行复核，存在计算错误的应予以修正并在评标报告中作出说明。除此之外，评标基准价在整个评标期间保持不变，不随任何因素发生变化。</w:t>
            </w:r>
          </w:p>
          <w:p w14:paraId="0FA78E70">
            <w:pPr>
              <w:ind w:firstLine="400" w:firstLineChars="200"/>
              <w:rPr>
                <w:rFonts w:hint="eastAsia" w:ascii="仿宋" w:hAnsi="仿宋" w:eastAsia="仿宋" w:cs="仿宋"/>
                <w:sz w:val="20"/>
                <w:szCs w:val="20"/>
              </w:rPr>
            </w:pPr>
            <w:r>
              <w:rPr>
                <w:rFonts w:hint="eastAsia" w:ascii="仿宋" w:hAnsi="仿宋" w:eastAsia="仿宋" w:cs="仿宋"/>
                <w:sz w:val="20"/>
                <w:szCs w:val="20"/>
              </w:rPr>
              <w:t>4）评标价的偏差率计算</w:t>
            </w:r>
          </w:p>
          <w:p w14:paraId="2A1013D0">
            <w:pPr>
              <w:ind w:firstLine="400" w:firstLineChars="200"/>
              <w:rPr>
                <w:rFonts w:hint="eastAsia" w:ascii="仿宋" w:hAnsi="仿宋" w:eastAsia="仿宋" w:cs="仿宋"/>
                <w:sz w:val="20"/>
                <w:szCs w:val="20"/>
              </w:rPr>
            </w:pPr>
            <w:r>
              <w:rPr>
                <w:rFonts w:hint="eastAsia" w:ascii="仿宋" w:hAnsi="仿宋" w:eastAsia="仿宋" w:cs="仿宋"/>
                <w:sz w:val="20"/>
                <w:szCs w:val="20"/>
              </w:rPr>
              <w:t>偏差率=100%×（投标人评标价-评标基准价）/评标基准价</w:t>
            </w:r>
          </w:p>
          <w:p w14:paraId="45D4E416">
            <w:pPr>
              <w:ind w:firstLine="400" w:firstLineChars="200"/>
              <w:rPr>
                <w:rFonts w:hint="eastAsia" w:ascii="仿宋" w:hAnsi="仿宋" w:eastAsia="仿宋" w:cs="仿宋"/>
                <w:sz w:val="20"/>
                <w:szCs w:val="20"/>
              </w:rPr>
            </w:pPr>
            <w:r>
              <w:rPr>
                <w:rFonts w:hint="eastAsia" w:ascii="仿宋" w:hAnsi="仿宋" w:eastAsia="仿宋" w:cs="仿宋"/>
                <w:sz w:val="20"/>
                <w:szCs w:val="20"/>
              </w:rPr>
              <w:t>偏差率保留两位小数（小数点后第三位“四舍五入”），即为*.**%。</w:t>
            </w:r>
          </w:p>
          <w:p w14:paraId="133EEB73">
            <w:pPr>
              <w:ind w:firstLine="400" w:firstLineChars="200"/>
              <w:rPr>
                <w:rFonts w:hint="eastAsia" w:ascii="仿宋" w:hAnsi="仿宋" w:eastAsia="仿宋" w:cs="仿宋"/>
                <w:sz w:val="20"/>
                <w:szCs w:val="20"/>
              </w:rPr>
            </w:pPr>
            <w:r>
              <w:rPr>
                <w:rFonts w:hint="eastAsia" w:ascii="仿宋" w:hAnsi="仿宋" w:eastAsia="仿宋" w:cs="仿宋"/>
                <w:sz w:val="20"/>
                <w:szCs w:val="20"/>
              </w:rPr>
              <w:t>5）评标价得分计算</w:t>
            </w:r>
          </w:p>
          <w:p w14:paraId="6FDB4AE1">
            <w:pPr>
              <w:ind w:firstLine="400" w:firstLineChars="200"/>
              <w:rPr>
                <w:rFonts w:hint="eastAsia" w:ascii="仿宋" w:hAnsi="仿宋" w:eastAsia="仿宋" w:cs="仿宋"/>
                <w:sz w:val="20"/>
                <w:szCs w:val="20"/>
              </w:rPr>
            </w:pPr>
            <w:r>
              <w:rPr>
                <w:rFonts w:hint="eastAsia" w:ascii="仿宋" w:hAnsi="仿宋" w:eastAsia="仿宋" w:cs="仿宋"/>
                <w:sz w:val="20"/>
                <w:szCs w:val="20"/>
              </w:rPr>
              <w:t>①当投标人评标价＞评标基准价，评标价得分=F-偏差率*100*E</w:t>
            </w:r>
            <w:r>
              <w:rPr>
                <w:rFonts w:hint="eastAsia" w:ascii="仿宋" w:hAnsi="仿宋" w:eastAsia="仿宋" w:cs="仿宋"/>
                <w:sz w:val="20"/>
                <w:szCs w:val="20"/>
                <w:vertAlign w:val="subscript"/>
              </w:rPr>
              <w:t>1</w:t>
            </w:r>
          </w:p>
          <w:p w14:paraId="4AD48B1B">
            <w:pPr>
              <w:ind w:firstLine="400" w:firstLineChars="200"/>
              <w:rPr>
                <w:rFonts w:hint="eastAsia" w:ascii="仿宋" w:hAnsi="仿宋" w:eastAsia="仿宋" w:cs="仿宋"/>
                <w:sz w:val="20"/>
                <w:szCs w:val="20"/>
              </w:rPr>
            </w:pPr>
            <w:r>
              <w:rPr>
                <w:rFonts w:hint="eastAsia" w:ascii="仿宋" w:hAnsi="仿宋" w:eastAsia="仿宋" w:cs="仿宋"/>
                <w:sz w:val="20"/>
                <w:szCs w:val="20"/>
              </w:rPr>
              <w:t>②当投标人评标价≤评标基准价，评标价得分=F+偏差率*100*E</w:t>
            </w:r>
            <w:r>
              <w:rPr>
                <w:rFonts w:hint="eastAsia" w:ascii="仿宋" w:hAnsi="仿宋" w:eastAsia="仿宋" w:cs="仿宋"/>
                <w:sz w:val="20"/>
                <w:szCs w:val="20"/>
                <w:vertAlign w:val="subscript"/>
              </w:rPr>
              <w:t>2</w:t>
            </w:r>
          </w:p>
          <w:p w14:paraId="56E95DE7">
            <w:pPr>
              <w:ind w:firstLine="400" w:firstLineChars="200"/>
              <w:rPr>
                <w:rFonts w:hint="eastAsia" w:ascii="仿宋" w:hAnsi="仿宋" w:eastAsia="仿宋" w:cs="仿宋"/>
                <w:sz w:val="20"/>
                <w:szCs w:val="20"/>
              </w:rPr>
            </w:pPr>
            <w:r>
              <w:rPr>
                <w:rFonts w:hint="eastAsia" w:ascii="仿宋" w:hAnsi="仿宋" w:eastAsia="仿宋" w:cs="仿宋"/>
                <w:sz w:val="20"/>
                <w:szCs w:val="20"/>
              </w:rPr>
              <w:t>其中:F是评标价所占的权重分值。E</w:t>
            </w:r>
            <w:r>
              <w:rPr>
                <w:rFonts w:hint="eastAsia" w:ascii="仿宋" w:hAnsi="仿宋" w:eastAsia="仿宋" w:cs="仿宋"/>
                <w:sz w:val="20"/>
                <w:szCs w:val="20"/>
                <w:vertAlign w:val="subscript"/>
              </w:rPr>
              <w:t>1</w:t>
            </w:r>
            <w:r>
              <w:rPr>
                <w:rFonts w:hint="eastAsia" w:ascii="仿宋" w:hAnsi="仿宋" w:eastAsia="仿宋" w:cs="仿宋"/>
                <w:sz w:val="20"/>
                <w:szCs w:val="20"/>
              </w:rPr>
              <w:t>是评标价每高于评标基准价一个百分点的扣分值，E</w:t>
            </w:r>
            <w:r>
              <w:rPr>
                <w:rFonts w:hint="eastAsia" w:ascii="仿宋" w:hAnsi="仿宋" w:eastAsia="仿宋" w:cs="仿宋"/>
                <w:sz w:val="20"/>
                <w:szCs w:val="20"/>
                <w:vertAlign w:val="subscript"/>
              </w:rPr>
              <w:t>2</w:t>
            </w:r>
            <w:r>
              <w:rPr>
                <w:rFonts w:hint="eastAsia" w:ascii="仿宋" w:hAnsi="仿宋" w:eastAsia="仿宋" w:cs="仿宋"/>
                <w:sz w:val="20"/>
                <w:szCs w:val="20"/>
              </w:rPr>
              <w:t>是评标价每低于评标基准价一个百分点的扣分值。招标人可依据招标项目具体特点和实际需要设置E1、E</w:t>
            </w:r>
            <w:r>
              <w:rPr>
                <w:rFonts w:hint="eastAsia" w:ascii="仿宋" w:hAnsi="仿宋" w:eastAsia="仿宋" w:cs="仿宋"/>
                <w:sz w:val="20"/>
                <w:szCs w:val="20"/>
                <w:vertAlign w:val="subscript"/>
              </w:rPr>
              <w:t>2</w:t>
            </w:r>
            <w:r>
              <w:rPr>
                <w:rFonts w:hint="eastAsia" w:ascii="仿宋" w:hAnsi="仿宋" w:eastAsia="仿宋" w:cs="仿宋"/>
                <w:sz w:val="20"/>
                <w:szCs w:val="20"/>
              </w:rPr>
              <w:t>，但E</w:t>
            </w:r>
            <w:r>
              <w:rPr>
                <w:rFonts w:hint="eastAsia" w:ascii="仿宋" w:hAnsi="仿宋" w:eastAsia="仿宋" w:cs="仿宋"/>
                <w:sz w:val="20"/>
                <w:szCs w:val="20"/>
                <w:vertAlign w:val="subscript"/>
              </w:rPr>
              <w:t>1</w:t>
            </w:r>
            <w:r>
              <w:rPr>
                <w:rFonts w:hint="eastAsia" w:ascii="仿宋" w:hAnsi="仿宋" w:eastAsia="仿宋" w:cs="仿宋"/>
                <w:sz w:val="20"/>
                <w:szCs w:val="20"/>
              </w:rPr>
              <w:t>应大于E</w:t>
            </w:r>
            <w:r>
              <w:rPr>
                <w:rFonts w:hint="eastAsia" w:ascii="仿宋" w:hAnsi="仿宋" w:eastAsia="仿宋" w:cs="仿宋"/>
                <w:sz w:val="20"/>
                <w:szCs w:val="20"/>
                <w:vertAlign w:val="subscript"/>
              </w:rPr>
              <w:t>2</w:t>
            </w:r>
            <w:r>
              <w:rPr>
                <w:rFonts w:hint="eastAsia" w:ascii="仿宋" w:hAnsi="仿宋" w:eastAsia="仿宋" w:cs="仿宋"/>
                <w:sz w:val="20"/>
                <w:szCs w:val="20"/>
              </w:rPr>
              <w:t>，且差额不得小于0.2，E</w:t>
            </w:r>
            <w:r>
              <w:rPr>
                <w:rFonts w:hint="eastAsia" w:ascii="仿宋" w:hAnsi="仿宋" w:eastAsia="仿宋" w:cs="仿宋"/>
                <w:sz w:val="20"/>
                <w:szCs w:val="20"/>
                <w:vertAlign w:val="subscript"/>
              </w:rPr>
              <w:t>1</w:t>
            </w:r>
            <w:r>
              <w:rPr>
                <w:rFonts w:hint="eastAsia" w:ascii="仿宋" w:hAnsi="仿宋" w:eastAsia="仿宋" w:cs="仿宋"/>
                <w:sz w:val="20"/>
                <w:szCs w:val="20"/>
              </w:rPr>
              <w:t>、E</w:t>
            </w:r>
            <w:r>
              <w:rPr>
                <w:rFonts w:hint="eastAsia" w:ascii="仿宋" w:hAnsi="仿宋" w:eastAsia="仿宋" w:cs="仿宋"/>
                <w:sz w:val="20"/>
                <w:szCs w:val="20"/>
                <w:vertAlign w:val="subscript"/>
              </w:rPr>
              <w:t>2</w:t>
            </w:r>
            <w:r>
              <w:rPr>
                <w:rFonts w:hint="eastAsia" w:ascii="仿宋" w:hAnsi="仿宋" w:eastAsia="仿宋" w:cs="仿宋"/>
                <w:sz w:val="20"/>
                <w:szCs w:val="20"/>
              </w:rPr>
              <w:t>取值范围为1-0.3。</w:t>
            </w:r>
          </w:p>
          <w:p w14:paraId="51C4519D">
            <w:pPr>
              <w:ind w:firstLine="400" w:firstLineChars="200"/>
              <w:rPr>
                <w:rFonts w:hint="eastAsia" w:ascii="仿宋" w:hAnsi="仿宋" w:eastAsia="仿宋" w:cs="仿宋"/>
                <w:b/>
                <w:bCs/>
                <w:sz w:val="20"/>
                <w:szCs w:val="20"/>
              </w:rPr>
            </w:pPr>
            <w:r>
              <w:rPr>
                <w:rFonts w:hint="eastAsia" w:ascii="仿宋" w:hAnsi="仿宋" w:eastAsia="仿宋" w:cs="仿宋"/>
                <w:sz w:val="20"/>
                <w:szCs w:val="20"/>
              </w:rPr>
              <w:t>当评标价得分为负时，均按0分计算。评标价得分保留小数点后两位，小数点后三位“四舍五入”。</w:t>
            </w:r>
          </w:p>
          <w:p w14:paraId="737BE70C">
            <w:pPr>
              <w:rPr>
                <w:rFonts w:ascii="仿宋" w:hAnsi="仿宋" w:eastAsia="仿宋" w:cs="仿宋"/>
                <w:color w:val="000000"/>
                <w:sz w:val="20"/>
                <w:szCs w:val="20"/>
              </w:rPr>
            </w:pPr>
          </w:p>
        </w:tc>
        <w:tc>
          <w:tcPr>
            <w:tcW w:w="1529" w:type="dxa"/>
            <w:tcBorders>
              <w:top w:val="single" w:color="auto" w:sz="4" w:space="0"/>
              <w:left w:val="single" w:color="000000" w:sz="4" w:space="0"/>
              <w:bottom w:val="single" w:color="000000" w:sz="4" w:space="0"/>
              <w:right w:val="single" w:color="000000" w:sz="4" w:space="0"/>
            </w:tcBorders>
            <w:shd w:val="clear" w:color="auto" w:fill="auto"/>
            <w:vAlign w:val="center"/>
          </w:tcPr>
          <w:p w14:paraId="735BB097">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0-5</w:t>
            </w: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分</w:t>
            </w:r>
          </w:p>
        </w:tc>
      </w:tr>
      <w:tr w14:paraId="73E6E234">
        <w:tblPrEx>
          <w:tblCellMar>
            <w:top w:w="0" w:type="dxa"/>
            <w:left w:w="108" w:type="dxa"/>
            <w:bottom w:w="0" w:type="dxa"/>
            <w:right w:w="108" w:type="dxa"/>
          </w:tblCellMar>
        </w:tblPrEx>
        <w:trPr>
          <w:trHeight w:val="609" w:hRule="atLeast"/>
          <w:jc w:val="center"/>
        </w:trPr>
        <w:tc>
          <w:tcPr>
            <w:tcW w:w="8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3E44E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综合得分</w:t>
            </w:r>
          </w:p>
        </w:tc>
      </w:tr>
    </w:tbl>
    <w:p w14:paraId="7B80E83D">
      <w:pPr>
        <w:rPr>
          <w:rFonts w:ascii="仿宋_GB2312" w:eastAsia="仿宋_GB2312"/>
          <w:sz w:val="32"/>
          <w:szCs w:val="32"/>
        </w:rPr>
      </w:pPr>
    </w:p>
    <w:p w14:paraId="1B5A5609">
      <w:pPr>
        <w:rPr>
          <w:rFonts w:ascii="仿宋_GB2312" w:eastAsia="仿宋_GB2312"/>
          <w:sz w:val="32"/>
          <w:szCs w:val="32"/>
        </w:rPr>
      </w:pPr>
    </w:p>
    <w:p w14:paraId="73A36411">
      <w:pPr>
        <w:rPr>
          <w:rFonts w:ascii="仿宋_GB2312" w:eastAsia="仿宋_GB2312"/>
          <w:sz w:val="32"/>
          <w:szCs w:val="32"/>
        </w:rPr>
      </w:pPr>
    </w:p>
    <w:p w14:paraId="1318ACA6">
      <w:pPr>
        <w:rPr>
          <w:rFonts w:ascii="仿宋_GB2312" w:eastAsia="仿宋_GB2312"/>
          <w:sz w:val="32"/>
          <w:szCs w:val="32"/>
        </w:rPr>
      </w:pPr>
      <w:r>
        <w:rPr>
          <w:rFonts w:hint="eastAsia" w:ascii="仿宋_GB2312" w:eastAsia="仿宋_GB2312"/>
          <w:sz w:val="32"/>
          <w:szCs w:val="32"/>
        </w:rPr>
        <w:t>附件8</w:t>
      </w:r>
    </w:p>
    <w:p w14:paraId="34A425BC">
      <w:pPr>
        <w:spacing w:line="360" w:lineRule="auto"/>
        <w:jc w:val="center"/>
        <w:rPr>
          <w:rFonts w:ascii="仿宋_GB2312" w:hAnsi="仿宋_GB2312" w:eastAsia="仿宋_GB2312" w:cs="仿宋_GB2312"/>
          <w:bCs/>
          <w:sz w:val="28"/>
          <w:szCs w:val="28"/>
        </w:rPr>
      </w:pPr>
    </w:p>
    <w:p w14:paraId="18487770">
      <w:pPr>
        <w:tabs>
          <w:tab w:val="left" w:pos="420"/>
        </w:tabs>
        <w:spacing w:line="300" w:lineRule="atLeast"/>
        <w:ind w:left="1060" w:leftChars="-238" w:hanging="1560" w:hangingChars="300"/>
        <w:jc w:val="center"/>
        <w:rPr>
          <w:rFonts w:ascii="方正小标宋_GBK" w:hAnsi="方正小标宋_GBK" w:eastAsia="方正小标宋_GBK" w:cs="方正小标宋_GBK"/>
          <w:color w:val="000000"/>
          <w:sz w:val="52"/>
          <w:szCs w:val="52"/>
          <w:lang w:bidi="ar"/>
        </w:rPr>
      </w:pPr>
      <w:bookmarkStart w:id="1" w:name="OLE_LINK3"/>
      <w:bookmarkStart w:id="2" w:name="OLE_LINK2"/>
      <w:r>
        <w:rPr>
          <w:rFonts w:hint="eastAsia" w:ascii="方正小标宋_GBK" w:hAnsi="方正小标宋_GBK" w:eastAsia="方正小标宋_GBK" w:cs="方正小标宋_GBK"/>
          <w:sz w:val="52"/>
          <w:szCs w:val="52"/>
        </w:rPr>
        <w:t>合肥市</w:t>
      </w:r>
      <w:r>
        <w:rPr>
          <w:rFonts w:hint="eastAsia" w:ascii="方正小标宋_GBK" w:hAnsi="方正小标宋_GBK" w:eastAsia="方正小标宋_GBK" w:cs="方正小标宋_GBK"/>
          <w:color w:val="000000"/>
          <w:sz w:val="52"/>
          <w:szCs w:val="52"/>
          <w:lang w:bidi="ar"/>
        </w:rPr>
        <w:t>经开区大学城地下空间</w:t>
      </w:r>
    </w:p>
    <w:p w14:paraId="2F1ACADF">
      <w:pPr>
        <w:tabs>
          <w:tab w:val="left" w:pos="420"/>
        </w:tabs>
        <w:spacing w:line="300" w:lineRule="atLeast"/>
        <w:ind w:left="1060" w:leftChars="-238" w:hanging="1560" w:hangingChars="300"/>
        <w:jc w:val="center"/>
        <w:rPr>
          <w:rFonts w:ascii="方正小标宋_GBK" w:hAnsi="方正小标宋_GBK" w:eastAsia="方正小标宋_GBK" w:cs="方正小标宋_GBK"/>
          <w:color w:val="000000"/>
          <w:sz w:val="52"/>
          <w:szCs w:val="52"/>
          <w:lang w:bidi="ar"/>
        </w:rPr>
      </w:pPr>
      <w:r>
        <w:rPr>
          <w:rFonts w:hint="eastAsia" w:ascii="方正小标宋_GBK" w:hAnsi="方正小标宋_GBK" w:eastAsia="方正小标宋_GBK" w:cs="方正小标宋_GBK"/>
          <w:color w:val="000000"/>
          <w:sz w:val="52"/>
          <w:szCs w:val="52"/>
          <w:lang w:bidi="ar"/>
        </w:rPr>
        <w:t>西广场停车场</w:t>
      </w:r>
    </w:p>
    <w:p w14:paraId="31E595EB">
      <w:pPr>
        <w:tabs>
          <w:tab w:val="left" w:pos="420"/>
        </w:tabs>
        <w:spacing w:line="300" w:lineRule="atLeast"/>
        <w:ind w:left="1060" w:leftChars="-238" w:hanging="1560" w:hangingChars="3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color w:val="000000"/>
          <w:sz w:val="52"/>
          <w:szCs w:val="52"/>
          <w:lang w:bidi="ar"/>
        </w:rPr>
        <w:t>消防设施设备维保</w:t>
      </w:r>
    </w:p>
    <w:bookmarkEnd w:id="1"/>
    <w:bookmarkEnd w:id="2"/>
    <w:p w14:paraId="4FB52818">
      <w:pPr>
        <w:spacing w:line="276" w:lineRule="auto"/>
        <w:jc w:val="center"/>
        <w:rPr>
          <w:rFonts w:ascii="仿宋_GB2312" w:hAnsi="仿宋_GB2312" w:eastAsia="仿宋_GB2312" w:cs="仿宋_GB2312"/>
          <w:bCs/>
          <w:sz w:val="100"/>
          <w:szCs w:val="100"/>
        </w:rPr>
      </w:pPr>
    </w:p>
    <w:p w14:paraId="73D004BF">
      <w:pPr>
        <w:spacing w:line="276" w:lineRule="auto"/>
        <w:jc w:val="center"/>
        <w:rPr>
          <w:rFonts w:ascii="黑体" w:hAnsi="黑体" w:eastAsia="黑体" w:cs="黑体"/>
          <w:bCs/>
          <w:sz w:val="100"/>
          <w:szCs w:val="100"/>
        </w:rPr>
      </w:pPr>
      <w:r>
        <w:rPr>
          <w:rFonts w:hint="eastAsia" w:ascii="黑体" w:hAnsi="黑体" w:eastAsia="黑体" w:cs="黑体"/>
          <w:bCs/>
          <w:sz w:val="100"/>
          <w:szCs w:val="100"/>
        </w:rPr>
        <w:t>合 同 文 本</w:t>
      </w:r>
    </w:p>
    <w:tbl>
      <w:tblPr>
        <w:tblStyle w:val="11"/>
        <w:tblpPr w:leftFromText="180" w:rightFromText="180" w:vertAnchor="text" w:horzAnchor="page" w:tblpX="1985" w:tblpY="3414"/>
        <w:tblOverlap w:val="never"/>
        <w:tblW w:w="8505" w:type="dxa"/>
        <w:tblInd w:w="0" w:type="dxa"/>
        <w:tblLayout w:type="fixed"/>
        <w:tblCellMar>
          <w:top w:w="0" w:type="dxa"/>
          <w:left w:w="108" w:type="dxa"/>
          <w:bottom w:w="0" w:type="dxa"/>
          <w:right w:w="108" w:type="dxa"/>
        </w:tblCellMar>
      </w:tblPr>
      <w:tblGrid>
        <w:gridCol w:w="2142"/>
        <w:gridCol w:w="6363"/>
      </w:tblGrid>
      <w:tr w14:paraId="0D6A33B7">
        <w:tblPrEx>
          <w:tblCellMar>
            <w:top w:w="0" w:type="dxa"/>
            <w:left w:w="108" w:type="dxa"/>
            <w:bottom w:w="0" w:type="dxa"/>
            <w:right w:w="108" w:type="dxa"/>
          </w:tblCellMar>
        </w:tblPrEx>
        <w:trPr>
          <w:trHeight w:val="474" w:hRule="atLeast"/>
        </w:trPr>
        <w:tc>
          <w:tcPr>
            <w:tcW w:w="2142" w:type="dxa"/>
          </w:tcPr>
          <w:p w14:paraId="0E530009">
            <w:pPr>
              <w:tabs>
                <w:tab w:val="left" w:pos="3277"/>
              </w:tabs>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rPr>
              <w:t>合同编号：</w:t>
            </w:r>
          </w:p>
        </w:tc>
        <w:tc>
          <w:tcPr>
            <w:tcW w:w="6363" w:type="dxa"/>
          </w:tcPr>
          <w:p w14:paraId="21351B6F">
            <w:pPr>
              <w:tabs>
                <w:tab w:val="left" w:pos="3277"/>
              </w:tabs>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rPr>
              <w:t>CBJS-2025-</w:t>
            </w:r>
            <w:r>
              <w:rPr>
                <w:rFonts w:ascii="方正仿宋_GBK" w:hAnsi="方正仿宋_GBK" w:eastAsia="方正仿宋_GBK" w:cs="方正仿宋_GBK"/>
                <w:b/>
                <w:sz w:val="28"/>
                <w:szCs w:val="28"/>
              </w:rPr>
              <w:t>0</w:t>
            </w:r>
            <w:r>
              <w:rPr>
                <w:rFonts w:hint="eastAsia" w:ascii="方正仿宋_GBK" w:hAnsi="方正仿宋_GBK" w:eastAsia="方正仿宋_GBK" w:cs="方正仿宋_GBK"/>
                <w:b/>
                <w:sz w:val="28"/>
                <w:szCs w:val="28"/>
              </w:rPr>
              <w:t>XX</w:t>
            </w:r>
          </w:p>
        </w:tc>
      </w:tr>
      <w:tr w14:paraId="27F23F7E">
        <w:tblPrEx>
          <w:tblCellMar>
            <w:top w:w="0" w:type="dxa"/>
            <w:left w:w="108" w:type="dxa"/>
            <w:bottom w:w="0" w:type="dxa"/>
            <w:right w:w="108" w:type="dxa"/>
          </w:tblCellMar>
        </w:tblPrEx>
        <w:trPr>
          <w:trHeight w:val="587" w:hRule="atLeast"/>
        </w:trPr>
        <w:tc>
          <w:tcPr>
            <w:tcW w:w="2142" w:type="dxa"/>
          </w:tcPr>
          <w:p w14:paraId="3E4EA469">
            <w:pPr>
              <w:spacing w:line="276"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项目名称：</w:t>
            </w:r>
          </w:p>
        </w:tc>
        <w:tc>
          <w:tcPr>
            <w:tcW w:w="6363" w:type="dxa"/>
          </w:tcPr>
          <w:p w14:paraId="6A061B12">
            <w:pPr>
              <w:spacing w:line="276" w:lineRule="auto"/>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合肥市</w:t>
            </w:r>
            <w:r>
              <w:rPr>
                <w:rFonts w:hint="eastAsia" w:ascii="方正仿宋_GBK" w:hAnsi="方正仿宋_GBK" w:eastAsia="方正仿宋_GBK" w:cs="方正仿宋_GBK"/>
                <w:b/>
                <w:sz w:val="28"/>
                <w:szCs w:val="28"/>
                <w:lang w:bidi="ar"/>
              </w:rPr>
              <w:t>经开区大学城地下空间西广场停车场消防设施设备维保</w:t>
            </w:r>
          </w:p>
          <w:p w14:paraId="074973F5">
            <w:pPr>
              <w:spacing w:line="276" w:lineRule="auto"/>
              <w:rPr>
                <w:rFonts w:ascii="方正仿宋_GBK" w:hAnsi="方正仿宋_GBK" w:eastAsia="方正仿宋_GBK" w:cs="方正仿宋_GBK"/>
                <w:b/>
                <w:sz w:val="28"/>
                <w:szCs w:val="28"/>
              </w:rPr>
            </w:pPr>
          </w:p>
        </w:tc>
      </w:tr>
      <w:tr w14:paraId="49AFE0EB">
        <w:tblPrEx>
          <w:tblCellMar>
            <w:top w:w="0" w:type="dxa"/>
            <w:left w:w="108" w:type="dxa"/>
            <w:bottom w:w="0" w:type="dxa"/>
            <w:right w:w="108" w:type="dxa"/>
          </w:tblCellMar>
        </w:tblPrEx>
        <w:trPr>
          <w:trHeight w:val="587" w:hRule="atLeast"/>
        </w:trPr>
        <w:tc>
          <w:tcPr>
            <w:tcW w:w="2142" w:type="dxa"/>
          </w:tcPr>
          <w:p w14:paraId="137A952D">
            <w:pPr>
              <w:spacing w:line="276"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签订日期：                     </w:t>
            </w:r>
          </w:p>
        </w:tc>
        <w:tc>
          <w:tcPr>
            <w:tcW w:w="6363" w:type="dxa"/>
          </w:tcPr>
          <w:p w14:paraId="60B98F00">
            <w:pPr>
              <w:spacing w:line="276"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2025年 7 月   </w:t>
            </w:r>
          </w:p>
        </w:tc>
      </w:tr>
    </w:tbl>
    <w:p w14:paraId="7B54831D">
      <w:pPr>
        <w:spacing w:line="276" w:lineRule="auto"/>
        <w:jc w:val="center"/>
        <w:rPr>
          <w:rFonts w:ascii="仿宋_GB2312" w:hAnsi="仿宋_GB2312" w:eastAsia="仿宋_GB2312" w:cs="仿宋_GB2312"/>
          <w:w w:val="200"/>
          <w:sz w:val="32"/>
          <w:szCs w:val="32"/>
        </w:rPr>
      </w:pPr>
    </w:p>
    <w:p w14:paraId="7436F761">
      <w:pPr>
        <w:spacing w:line="276" w:lineRule="auto"/>
        <w:jc w:val="center"/>
        <w:rPr>
          <w:rFonts w:ascii="仿宋_GB2312" w:hAnsi="仿宋_GB2312" w:eastAsia="仿宋_GB2312" w:cs="仿宋_GB2312"/>
          <w:w w:val="200"/>
          <w:sz w:val="32"/>
          <w:szCs w:val="32"/>
        </w:rPr>
      </w:pPr>
    </w:p>
    <w:p w14:paraId="7BBD2A36">
      <w:pPr>
        <w:spacing w:line="276" w:lineRule="auto"/>
        <w:rPr>
          <w:rFonts w:ascii="仿宋_GB2312" w:hAnsi="仿宋_GB2312" w:eastAsia="仿宋_GB2312" w:cs="仿宋_GB2312"/>
          <w:b/>
          <w:sz w:val="24"/>
        </w:rPr>
      </w:pPr>
    </w:p>
    <w:p w14:paraId="23096210">
      <w:pPr>
        <w:spacing w:line="540" w:lineRule="exact"/>
        <w:jc w:val="center"/>
        <w:rPr>
          <w:rFonts w:ascii="仿宋_GB2312" w:hAnsi="仿宋_GB2312" w:eastAsia="仿宋_GB2312" w:cs="仿宋_GB2312"/>
          <w:b/>
          <w:color w:val="333333"/>
          <w:kern w:val="0"/>
          <w:sz w:val="44"/>
          <w:szCs w:val="44"/>
        </w:rPr>
      </w:pPr>
    </w:p>
    <w:p w14:paraId="3A03D0D0">
      <w:pPr>
        <w:spacing w:line="540" w:lineRule="exact"/>
        <w:jc w:val="center"/>
        <w:rPr>
          <w:rFonts w:ascii="仿宋_GB2312" w:hAnsi="仿宋_GB2312" w:eastAsia="仿宋_GB2312" w:cs="仿宋_GB2312"/>
          <w:b/>
          <w:color w:val="333333"/>
          <w:kern w:val="0"/>
          <w:sz w:val="44"/>
          <w:szCs w:val="44"/>
        </w:rPr>
      </w:pPr>
    </w:p>
    <w:p w14:paraId="3F6E7C9A">
      <w:pPr>
        <w:spacing w:line="540" w:lineRule="exact"/>
        <w:jc w:val="center"/>
        <w:rPr>
          <w:rFonts w:ascii="仿宋_GB2312" w:hAnsi="仿宋_GB2312" w:eastAsia="仿宋_GB2312" w:cs="仿宋_GB2312"/>
          <w:b/>
          <w:color w:val="333333"/>
          <w:kern w:val="0"/>
          <w:sz w:val="44"/>
          <w:szCs w:val="44"/>
        </w:rPr>
      </w:pPr>
    </w:p>
    <w:p w14:paraId="0CAEECE6">
      <w:pPr>
        <w:adjustRightInd w:val="0"/>
        <w:snapToGrid w:val="0"/>
        <w:ind w:firstLine="261" w:firstLineChars="200"/>
        <w:rPr>
          <w:rFonts w:ascii="方正仿宋_GBK" w:hAnsi="方正仿宋_GBK" w:eastAsia="方正仿宋_GBK" w:cs="方正仿宋_GBK"/>
          <w:b/>
          <w:bCs/>
          <w:color w:val="000000"/>
          <w:sz w:val="13"/>
          <w:szCs w:val="13"/>
        </w:rPr>
      </w:pPr>
    </w:p>
    <w:p w14:paraId="2DC2FBF0">
      <w:pPr>
        <w:adjustRightInd w:val="0"/>
        <w:snapToGrid w:val="0"/>
        <w:spacing w:line="52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需方（以下简称甲方）：合肥城市泊车投资管理有限公司</w:t>
      </w:r>
    </w:p>
    <w:p w14:paraId="2C47EB7F">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地 址：                                        </w:t>
      </w:r>
    </w:p>
    <w:p w14:paraId="5E2241A6">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法定代表人：                                  </w:t>
      </w:r>
    </w:p>
    <w:p w14:paraId="633D6754">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联系人： </w:t>
      </w:r>
    </w:p>
    <w:p w14:paraId="45B1DC2E">
      <w:pPr>
        <w:adjustRightInd w:val="0"/>
        <w:snapToGrid w:val="0"/>
        <w:spacing w:line="520" w:lineRule="exact"/>
        <w:ind w:firstLine="480" w:firstLineChars="200"/>
        <w:rPr>
          <w:rFonts w:ascii="方正仿宋_GBK" w:hAnsi="方正仿宋_GBK" w:eastAsia="方正仿宋_GBK" w:cs="方正仿宋_GBK"/>
          <w:b/>
          <w:bCs/>
          <w:color w:val="000000"/>
          <w:sz w:val="13"/>
          <w:szCs w:val="13"/>
        </w:rPr>
      </w:pPr>
      <w:r>
        <w:rPr>
          <w:rFonts w:hint="eastAsia" w:ascii="方正仿宋_GBK" w:hAnsi="方正仿宋_GBK" w:eastAsia="方正仿宋_GBK" w:cs="方正仿宋_GBK"/>
          <w:color w:val="000000"/>
          <w:sz w:val="24"/>
        </w:rPr>
        <w:t>电话：</w:t>
      </w:r>
    </w:p>
    <w:p w14:paraId="5358A24F">
      <w:pPr>
        <w:adjustRightInd w:val="0"/>
        <w:snapToGrid w:val="0"/>
        <w:spacing w:line="52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供方（以下简称乙方）：</w:t>
      </w:r>
    </w:p>
    <w:p w14:paraId="0A578320">
      <w:pPr>
        <w:adjustRightInd w:val="0"/>
        <w:snapToGrid w:val="0"/>
        <w:spacing w:line="52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地 址： </w:t>
      </w:r>
    </w:p>
    <w:p w14:paraId="5A4E0E9B">
      <w:pPr>
        <w:adjustRightInd w:val="0"/>
        <w:snapToGrid w:val="0"/>
        <w:spacing w:line="520" w:lineRule="exact"/>
        <w:ind w:left="420" w:left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单位负责人：</w:t>
      </w:r>
    </w:p>
    <w:p w14:paraId="7F93420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联系人：  </w:t>
      </w:r>
    </w:p>
    <w:p w14:paraId="4F59BC39">
      <w:pPr>
        <w:adjustRightInd w:val="0"/>
        <w:snapToGrid w:val="0"/>
        <w:spacing w:line="52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电话： </w:t>
      </w:r>
      <w:r>
        <w:rPr>
          <w:rFonts w:hint="eastAsia" w:ascii="方正仿宋_GBK" w:hAnsi="方正仿宋_GBK" w:eastAsia="方正仿宋_GBK" w:cs="方正仿宋_GBK"/>
          <w:b/>
          <w:bCs/>
          <w:color w:val="000000" w:themeColor="text1"/>
          <w:sz w:val="13"/>
          <w:szCs w:val="13"/>
          <w14:textFill>
            <w14:solidFill>
              <w14:schemeClr w14:val="tx1"/>
            </w14:solidFill>
          </w14:textFill>
        </w:rPr>
        <w:t xml:space="preserve">                                              </w:t>
      </w:r>
    </w:p>
    <w:p w14:paraId="4096A5E8">
      <w:pPr>
        <w:spacing w:line="276" w:lineRule="auto"/>
        <w:ind w:firstLine="720" w:firstLineChars="3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themeColor="text1"/>
          <w:sz w:val="24"/>
          <w14:textFill>
            <w14:solidFill>
              <w14:schemeClr w14:val="tx1"/>
            </w14:solidFill>
          </w14:textFill>
        </w:rPr>
        <w:t>根据《中华人民共和国</w:t>
      </w:r>
      <w:r>
        <w:rPr>
          <w:rFonts w:hint="eastAsia" w:ascii="方正仿宋_GBK" w:hAnsi="方正仿宋_GBK" w:eastAsia="方正仿宋_GBK" w:cs="方正仿宋_GBK"/>
          <w:color w:val="000000"/>
          <w:sz w:val="24"/>
        </w:rPr>
        <w:t>民法典》及其他有关法律、行政法规，遵循平等、自愿、公平和诚实信用的原则，双方经协商，就【合肥市</w:t>
      </w:r>
      <w:bookmarkStart w:id="3" w:name="OLE_LINK4"/>
      <w:r>
        <w:rPr>
          <w:rFonts w:hint="eastAsia" w:ascii="方正仿宋_GBK" w:hAnsi="方正仿宋_GBK" w:eastAsia="方正仿宋_GBK" w:cs="方正仿宋_GBK"/>
          <w:color w:val="000000"/>
          <w:sz w:val="24"/>
          <w:lang w:bidi="ar"/>
        </w:rPr>
        <w:t>经开区大学城地下空间西广场停车场消防设施设备维保</w:t>
      </w:r>
      <w:r>
        <w:rPr>
          <w:rFonts w:hint="eastAsia" w:ascii="方正仿宋_GBK" w:hAnsi="方正仿宋_GBK" w:eastAsia="方正仿宋_GBK" w:cs="方正仿宋_GBK"/>
          <w:color w:val="000000"/>
          <w:sz w:val="24"/>
        </w:rPr>
        <w:t>服务</w:t>
      </w:r>
      <w:bookmarkEnd w:id="3"/>
      <w:r>
        <w:rPr>
          <w:rFonts w:hint="eastAsia" w:ascii="方正仿宋_GBK" w:hAnsi="方正仿宋_GBK" w:eastAsia="方正仿宋_GBK" w:cs="方正仿宋_GBK"/>
          <w:color w:val="000000"/>
          <w:sz w:val="24"/>
        </w:rPr>
        <w:t>】采购事项协商一致，订立本合同。</w:t>
      </w:r>
    </w:p>
    <w:p w14:paraId="6E678EE5">
      <w:pPr>
        <w:adjustRightInd w:val="0"/>
        <w:snapToGrid w:val="0"/>
        <w:spacing w:line="520" w:lineRule="exact"/>
        <w:ind w:firstLine="482" w:firstLineChars="200"/>
        <w:outlineLvl w:val="3"/>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第一条 采购内容</w:t>
      </w:r>
    </w:p>
    <w:p w14:paraId="15E1CA53">
      <w:pPr>
        <w:spacing w:line="276" w:lineRule="auto"/>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合肥市</w:t>
      </w:r>
      <w:r>
        <w:rPr>
          <w:rFonts w:hint="eastAsia" w:ascii="方正仿宋_GBK" w:hAnsi="方正仿宋_GBK" w:eastAsia="方正仿宋_GBK" w:cs="方正仿宋_GBK"/>
          <w:color w:val="000000"/>
          <w:sz w:val="24"/>
          <w:lang w:bidi="ar"/>
        </w:rPr>
        <w:t>经开区大学城地下空间西广场停车场消防设施设备维保</w:t>
      </w:r>
      <w:r>
        <w:rPr>
          <w:rFonts w:hint="eastAsia" w:ascii="方正仿宋_GBK" w:hAnsi="方正仿宋_GBK" w:eastAsia="方正仿宋_GBK" w:cs="方正仿宋_GBK"/>
          <w:color w:val="000000"/>
          <w:sz w:val="24"/>
        </w:rPr>
        <w:t>服务 （详见招标文件及合同附件）</w:t>
      </w:r>
    </w:p>
    <w:p w14:paraId="121B919F">
      <w:pPr>
        <w:adjustRightInd w:val="0"/>
        <w:snapToGrid w:val="0"/>
        <w:spacing w:line="520" w:lineRule="exact"/>
        <w:ind w:firstLine="482" w:firstLineChars="200"/>
        <w:outlineLvl w:val="3"/>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第二条 合同价款</w:t>
      </w:r>
    </w:p>
    <w:p w14:paraId="46AE2E78">
      <w:pPr>
        <w:spacing w:line="276" w:lineRule="auto"/>
        <w:ind w:left="719" w:leftChars="228" w:hanging="240" w:hangingChars="100"/>
        <w:jc w:val="left"/>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t xml:space="preserve">1.维保服务费用：本维保服务项目的含税总价为人民币 </w:t>
      </w:r>
      <w:r>
        <w:rPr>
          <w:rFonts w:hint="eastAsia" w:ascii="方正仿宋_GBK" w:hAnsi="方正仿宋_GBK" w:eastAsia="方正仿宋_GBK" w:cs="方正仿宋_GBK"/>
          <w:color w:val="000000"/>
          <w:sz w:val="24"/>
          <w:u w:val="single"/>
        </w:rPr>
        <w:t xml:space="preserve">        </w:t>
      </w:r>
    </w:p>
    <w:p w14:paraId="233983CB">
      <w:pPr>
        <w:spacing w:line="276" w:lineRule="auto"/>
        <w:ind w:left="719" w:leftChars="228" w:hanging="240" w:hangingChars="1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元）合同价款：￥</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元，税金：￥</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元，税率</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w:t>
      </w:r>
    </w:p>
    <w:p w14:paraId="7081C02F">
      <w:pPr>
        <w:spacing w:line="480" w:lineRule="exact"/>
        <w:ind w:firstLine="480" w:firstLineChars="20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4"/>
        </w:rPr>
        <w:t>2.甲方指定账户基本情况：</w:t>
      </w:r>
    </w:p>
    <w:p w14:paraId="3CB6C92E">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公司名称：</w:t>
      </w:r>
    </w:p>
    <w:p w14:paraId="4B50B829">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纳税人识别号:</w:t>
      </w:r>
    </w:p>
    <w:p w14:paraId="72B5DD8D">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地址电话：</w:t>
      </w:r>
    </w:p>
    <w:p w14:paraId="46015033">
      <w:pPr>
        <w:spacing w:line="48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开户行、账号：</w:t>
      </w:r>
    </w:p>
    <w:p w14:paraId="3B6E969C">
      <w:pPr>
        <w:spacing w:line="480" w:lineRule="exact"/>
        <w:ind w:firstLine="480" w:firstLineChars="200"/>
        <w:outlineLvl w:val="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3.合同价款的支付：</w:t>
      </w:r>
    </w:p>
    <w:p w14:paraId="1C94AF99">
      <w:pPr>
        <w:spacing w:line="4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双方约定由合肥城市泊车投资管理有限公司经开分公司支付本合同款项，项目无预付款。每半年为一个服务周期，首个服务周期结束后，由甲方进行设备和功能性验收，验收合格后支付合同总价款的40%；剩余60%费用在维保服务到期且验收合格后支付（若验收时设备未能正常运行则维保时间延续，不另行支付维保费用，直至验收合格后且无其他违约事项后支付）。每次支付费用前，乙方先开具增值税专用发票给甲方，甲方在收到发票后1个月内支付剩余维保费用（不计息）至乙方指定账户。</w:t>
      </w:r>
    </w:p>
    <w:p w14:paraId="0F213AA8">
      <w:pPr>
        <w:spacing w:line="4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（2）消防工程的维护保养工件（附件：设备配件清单）：针对 100 元（含）以下的设备、零配件（开关、螺丝、线、接线盒、金属软管等）、材料（喷头、管件等）的更换成本，包含在乙方维保费用中，乙方需储备足够的库存，根据甲方要求及时进行更换；超过 100 元的，其设备、零配件、材料的更换成本由甲方承担，原则上由甲方自行解决。甲方如委托乙方购买，乙方应根据甲方需求更换设备的型号、规格、数量、价格，积极配合甲方完成采购安装工作，其设备采购费用由甲方承担。   </w:t>
      </w:r>
    </w:p>
    <w:p w14:paraId="08D3E9B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4.乙方应为经主管税务机关认可的增值税一般纳税人（如乙方为小规模纳税人，应提供税务机关代开的增值税专用发票） 。甲方付款前，乙方应向</w:t>
      </w:r>
      <w:r>
        <w:rPr>
          <w:rFonts w:hint="eastAsia" w:ascii="方正仿宋_GBK" w:hAnsi="方正仿宋_GBK" w:eastAsia="方正仿宋_GBK" w:cs="方正仿宋_GBK"/>
          <w:sz w:val="24"/>
        </w:rPr>
        <w:t>甲方提供等额合法</w:t>
      </w:r>
      <w:r>
        <w:rPr>
          <w:rFonts w:hint="eastAsia" w:ascii="方正仿宋_GBK" w:hAnsi="方正仿宋_GBK" w:eastAsia="方正仿宋_GBK" w:cs="方正仿宋_GBK"/>
          <w:color w:val="000000"/>
          <w:sz w:val="24"/>
        </w:rPr>
        <w:t>有效的增值税专用发票；如乙方迟延或拒绝开具的增值税发票的，甲方有权迟延支付应付款项，且不承担任何违约责任，乙方的各项合同义务仍按合同约定履行。</w:t>
      </w:r>
    </w:p>
    <w:p w14:paraId="44BAE608">
      <w:pPr>
        <w:adjustRightInd w:val="0"/>
        <w:snapToGrid w:val="0"/>
        <w:spacing w:line="520" w:lineRule="exact"/>
        <w:ind w:firstLine="480" w:firstLineChars="200"/>
        <w:outlineLvl w:val="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5.乙方指定收款账户信息如下：</w:t>
      </w:r>
    </w:p>
    <w:p w14:paraId="511789BC">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开户行：</w:t>
      </w:r>
    </w:p>
    <w:p w14:paraId="0F0BE06B">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账户名称：</w:t>
      </w:r>
    </w:p>
    <w:p w14:paraId="55AD2AA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账号：</w:t>
      </w:r>
    </w:p>
    <w:p w14:paraId="6F4A5B4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129D84DF">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3FFF2811">
      <w:pPr>
        <w:spacing w:line="480" w:lineRule="exact"/>
        <w:ind w:firstLine="482"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bCs/>
          <w:color w:val="000000" w:themeColor="text1"/>
          <w:sz w:val="24"/>
          <w14:textFill>
            <w14:solidFill>
              <w14:schemeClr w14:val="tx1"/>
            </w14:solidFill>
          </w14:textFill>
        </w:rPr>
        <w:t>第三条 服务期限</w:t>
      </w:r>
    </w:p>
    <w:p w14:paraId="3AB0F1D6">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1.本合同签订后，本合同项下的维保服务期限为</w:t>
      </w:r>
      <w:r>
        <w:rPr>
          <w:rFonts w:hint="eastAsia" w:ascii="方正仿宋_GBK" w:hAnsi="方正仿宋_GBK" w:eastAsia="方正仿宋_GBK" w:cs="方正仿宋_GBK"/>
          <w:b/>
          <w:bCs/>
          <w:color w:val="000000"/>
          <w:sz w:val="24"/>
        </w:rPr>
        <w:t>（甲方发放进场通知书之日起一年）即2025年</w:t>
      </w:r>
      <w:r>
        <w:rPr>
          <w:rFonts w:hint="eastAsia" w:ascii="方正仿宋_GBK" w:hAnsi="方正仿宋_GBK" w:eastAsia="方正仿宋_GBK" w:cs="方正仿宋_GBK"/>
          <w:b/>
          <w:bCs/>
          <w:color w:val="000000"/>
          <w:sz w:val="24"/>
          <w:u w:val="single"/>
        </w:rPr>
        <w:t xml:space="preserve">    </w:t>
      </w:r>
      <w:r>
        <w:rPr>
          <w:rFonts w:hint="eastAsia" w:ascii="方正仿宋_GBK" w:hAnsi="方正仿宋_GBK" w:eastAsia="方正仿宋_GBK" w:cs="方正仿宋_GBK"/>
          <w:b/>
          <w:bCs/>
          <w:color w:val="000000"/>
          <w:sz w:val="24"/>
        </w:rPr>
        <w:t>月</w:t>
      </w:r>
      <w:r>
        <w:rPr>
          <w:rFonts w:hint="eastAsia" w:ascii="方正仿宋_GBK" w:hAnsi="方正仿宋_GBK" w:eastAsia="方正仿宋_GBK" w:cs="方正仿宋_GBK"/>
          <w:b/>
          <w:bCs/>
          <w:color w:val="000000"/>
          <w:sz w:val="24"/>
          <w:u w:val="single"/>
        </w:rPr>
        <w:t xml:space="preserve">    </w:t>
      </w:r>
      <w:r>
        <w:rPr>
          <w:rFonts w:hint="eastAsia" w:ascii="方正仿宋_GBK" w:hAnsi="方正仿宋_GBK" w:eastAsia="方正仿宋_GBK" w:cs="方正仿宋_GBK"/>
          <w:b/>
          <w:bCs/>
          <w:color w:val="000000"/>
          <w:sz w:val="24"/>
        </w:rPr>
        <w:t>日至2026年</w:t>
      </w:r>
      <w:r>
        <w:rPr>
          <w:rFonts w:hint="eastAsia" w:ascii="方正仿宋_GBK" w:hAnsi="方正仿宋_GBK" w:eastAsia="方正仿宋_GBK" w:cs="方正仿宋_GBK"/>
          <w:b/>
          <w:bCs/>
          <w:color w:val="000000"/>
          <w:sz w:val="24"/>
          <w:u w:val="single"/>
        </w:rPr>
        <w:t xml:space="preserve">    </w:t>
      </w:r>
      <w:r>
        <w:rPr>
          <w:rFonts w:hint="eastAsia" w:ascii="方正仿宋_GBK" w:hAnsi="方正仿宋_GBK" w:eastAsia="方正仿宋_GBK" w:cs="方正仿宋_GBK"/>
          <w:b/>
          <w:bCs/>
          <w:color w:val="000000"/>
          <w:sz w:val="24"/>
        </w:rPr>
        <w:t>月</w:t>
      </w:r>
      <w:r>
        <w:rPr>
          <w:rFonts w:hint="eastAsia" w:ascii="方正仿宋_GBK" w:hAnsi="方正仿宋_GBK" w:eastAsia="方正仿宋_GBK" w:cs="方正仿宋_GBK"/>
          <w:b/>
          <w:bCs/>
          <w:color w:val="000000"/>
          <w:sz w:val="24"/>
          <w:u w:val="single"/>
        </w:rPr>
        <w:t xml:space="preserve">    </w:t>
      </w:r>
      <w:r>
        <w:rPr>
          <w:rFonts w:hint="eastAsia" w:ascii="方正仿宋_GBK" w:hAnsi="方正仿宋_GBK" w:eastAsia="方正仿宋_GBK" w:cs="方正仿宋_GBK"/>
          <w:b/>
          <w:bCs/>
          <w:color w:val="000000"/>
          <w:sz w:val="24"/>
        </w:rPr>
        <w:t>日</w:t>
      </w:r>
      <w:r>
        <w:rPr>
          <w:rFonts w:hint="eastAsia" w:ascii="方正仿宋_GBK" w:hAnsi="方正仿宋_GBK" w:eastAsia="方正仿宋_GBK" w:cs="方正仿宋_GBK"/>
          <w:color w:val="000000"/>
          <w:sz w:val="24"/>
        </w:rPr>
        <w:t>，乙方应当于维保服务期限开始前进场提供服务，服务期满后，甲方有权对乙方服务成果进行考核，考核合格的甲方有权选择续约一年，如需续签合同，乙方应在服务期限届满前一个月书面通知甲方，双方协商一致后另行签订合同，无法协商一致的，本合同到期后自行终止。(维保细则、考核标准详见附件)。</w:t>
      </w:r>
    </w:p>
    <w:p w14:paraId="313A7A88">
      <w:pPr>
        <w:spacing w:line="480" w:lineRule="exact"/>
        <w:ind w:firstLine="482" w:firstLineChars="200"/>
        <w:outlineLvl w:val="2"/>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第四条 双方责任</w:t>
      </w:r>
    </w:p>
    <w:p w14:paraId="2B7B7A71">
      <w:pPr>
        <w:adjustRightInd w:val="0"/>
        <w:snapToGrid w:val="0"/>
        <w:spacing w:line="520" w:lineRule="exact"/>
        <w:ind w:firstLine="480" w:firstLineChars="200"/>
        <w:outlineLvl w:val="3"/>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(一)甲方责任：</w:t>
      </w:r>
    </w:p>
    <w:p w14:paraId="3B14FC05">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1.合同订立后相关维保需要甲方配合的由甲方出面协调。</w:t>
      </w:r>
    </w:p>
    <w:p w14:paraId="2F1523C9">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2.根据合同约定的付款方式向乙方支付维保服务费用。</w:t>
      </w:r>
    </w:p>
    <w:p w14:paraId="5E0662D0">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（二）乙方责任：</w:t>
      </w:r>
    </w:p>
    <w:p w14:paraId="36099CA1">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1、严格按照“消防维保方案”制定每个月的维保计划并严格执行对消防设备进行检查、调试、维护，使整个消防系统一直处于正常运行状态。</w:t>
      </w:r>
    </w:p>
    <w:p w14:paraId="29CAA8E0">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2、乙方在每年、每季度、每月的检测工作完成后，应填写“消防维护（ ）检汇总表”（汇总表由乙方提供，甲方审核）， 乙方指定</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 xml:space="preserve"> 为维保组长，联系电话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 xml:space="preserve"> ，负责对工程实施管理，及与各方的联络协调。在维保期间，未经甲方书面同意，乙方不得随意更换现场负责人。同时，根据甲方需要提供检测报告书（国家承认），双方确认后存档。在不定期巡检期间，若甲方通知乙方到现场，乙方应在2小时内到达现场，乙方不按时到达现场处理故障的视为违约，由此造成的损失由乙方负责。</w:t>
      </w:r>
    </w:p>
    <w:p w14:paraId="5EBD71CA">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3、属于紧急召修要求的，乙方维护人员接到通知后</w:t>
      </w:r>
      <w:r>
        <w:rPr>
          <w:rFonts w:ascii="方正仿宋_GBK" w:hAnsi="方正仿宋_GBK" w:eastAsia="方正仿宋_GBK" w:cs="方正仿宋_GBK"/>
          <w:color w:val="000000"/>
          <w:sz w:val="24"/>
        </w:rPr>
        <w:t>50</w:t>
      </w:r>
      <w:r>
        <w:rPr>
          <w:rFonts w:hint="eastAsia" w:ascii="方正仿宋_GBK" w:hAnsi="方正仿宋_GBK" w:eastAsia="方正仿宋_GBK" w:cs="方正仿宋_GBK"/>
          <w:color w:val="000000"/>
          <w:sz w:val="24"/>
        </w:rPr>
        <w:t>分钟内赶到现场。重大活动期间，乙方应当委派维护人员驻场（甲方可提供场所），及时有效的处理各种故障，在最短时间内恢复系统正常运行。如维保事项遇不可预测的意外情况，乙方维保人员应经甲方同意采取应急措施，并填写维修记录。</w:t>
      </w:r>
    </w:p>
    <w:p w14:paraId="24C3391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4、乙方在实施消防设备、设施维护保养的过程中，还需建立健全月度质量检查自检机制，并在每月末将质量检查表交给甲方备案审查。</w:t>
      </w:r>
    </w:p>
    <w:p w14:paraId="7072C222">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5、乙方在维护中，如发现消防产品、设备有问题，乙方负责检查、更换设备，所需材料名称、单价、数量、更换原因等由乙方以书面形式报甲方审批后方可组织购买及更换。</w:t>
      </w:r>
    </w:p>
    <w:p w14:paraId="7D8E7FD2">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6、当消防系统损害严重，需更换设备或进行大修时，由乙方负责报计划给甲方，经甲方审定同意后方可进行大修。</w:t>
      </w:r>
    </w:p>
    <w:p w14:paraId="5ECA83AA">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甲方在检查中发现乙方降低服务质量，未按月检、季检、年检标准的频次进行检查，未按维保细则进行保养甲方设备或漏保养，不及时排除故障，影响使用，视情况甲方有权每次扣除全年保养费5%作为违约金，乙方发生3次（含3次）以上上述违约情形的，甲方有权单方面解除本合同。</w:t>
      </w:r>
    </w:p>
    <w:p w14:paraId="1A29EBA6">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8、乙方负责配合消防主管部门检查，对检查出的问题，进行处理并负责定期送检消防维护表及所有检查记录表，报至消防大队。</w:t>
      </w:r>
    </w:p>
    <w:p w14:paraId="5541FF71">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9、由于乙方维护人员未能按合同约定检查维护设备致使消防维护目标发生火灾时报警系统不能及时报警以及联动设备未能及时启动而造成的损失由乙方承担（责任判定以消防报警主机事件记录为准,由甲乙双方确认;若不能达成一致由消防监督部门裁定）。</w:t>
      </w:r>
    </w:p>
    <w:p w14:paraId="5FF17E7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10、在合同有效期间，如甲方由乙方维护保养的消防设备经消防和相关部门检查不符合消防设备设施运行要求而受到消防和相关部门的任何处罚，乙方对甲方由此遭受的一切损失承担赔偿责任。</w:t>
      </w:r>
    </w:p>
    <w:p w14:paraId="4E8DBB6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11、在合同有效期间，若因为乙方不按照合同维保计划要求进行维护，应发现的安全隐患未在维护中发现，除人为因素外,乙方对所造成任何安全事故的损失承担赔偿责任。</w:t>
      </w:r>
    </w:p>
    <w:p w14:paraId="2E5C2BC6">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 未经甲方书面同意，乙方不得将本项目转包或分包给第三方。</w:t>
      </w:r>
    </w:p>
    <w:p w14:paraId="2108295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13、乙方开展工作不得影响甲方正常工作及客户正常停车，不得对甲方设施设备造成损害，不得对停放车辆造成损失，否则乙方应当承担因此造成的全部损失的赔偿责任，给甲方造成损失的，甲方有权向乙方进行追偿。</w:t>
      </w:r>
    </w:p>
    <w:p w14:paraId="5126C359">
      <w:pPr>
        <w:adjustRightInd w:val="0"/>
        <w:snapToGrid w:val="0"/>
        <w:spacing w:line="520" w:lineRule="exact"/>
        <w:ind w:firstLine="48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14、严格按照《社会消防技术服务管理规定》，结合实际，配合落实合肥市消防救援支队开发了“掌上维保监管系统”。将检测和维保的情况及发现的隐患录入该系统。</w:t>
      </w:r>
    </w:p>
    <w:p w14:paraId="572117E1">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15.消防设施因乙方维保（维修）质量或者维修不及时发生二次危害，</w:t>
      </w:r>
      <w:r>
        <w:rPr>
          <w:rFonts w:hint="eastAsia" w:ascii="方正仿宋_GBK" w:hAnsi="方正仿宋_GBK" w:eastAsia="方正仿宋_GBK" w:cs="方正仿宋_GBK"/>
          <w:sz w:val="24"/>
        </w:rPr>
        <w:t>乙方承担所有法律责任及经济赔偿责任。</w:t>
      </w:r>
    </w:p>
    <w:p w14:paraId="12EDA660">
      <w:pPr>
        <w:adjustRightInd w:val="0"/>
        <w:snapToGrid w:val="0"/>
        <w:spacing w:line="52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6.</w:t>
      </w:r>
      <w:r>
        <w:rPr>
          <w:rFonts w:ascii="方正仿宋_GBK" w:hAnsi="方正仿宋_GBK" w:eastAsia="方正仿宋_GBK" w:cs="方正仿宋_GBK"/>
          <w:color w:val="000000"/>
          <w:sz w:val="24"/>
        </w:rPr>
        <w:t xml:space="preserve"> 维保人员需和投标时保持一致，且进场时需提供相关</w:t>
      </w:r>
      <w:r>
        <w:rPr>
          <w:rFonts w:hint="eastAsia" w:ascii="方正仿宋_GBK" w:hAnsi="方正仿宋_GBK" w:eastAsia="方正仿宋_GBK" w:cs="方正仿宋_GBK"/>
          <w:color w:val="000000"/>
          <w:sz w:val="24"/>
        </w:rPr>
        <w:t>人员</w:t>
      </w:r>
      <w:r>
        <w:rPr>
          <w:rFonts w:ascii="方正仿宋_GBK" w:hAnsi="方正仿宋_GBK" w:eastAsia="方正仿宋_GBK" w:cs="方正仿宋_GBK"/>
          <w:color w:val="000000"/>
          <w:sz w:val="24"/>
        </w:rPr>
        <w:t>证书。</w:t>
      </w:r>
      <w:r>
        <w:rPr>
          <w:rFonts w:hint="eastAsia" w:ascii="方正仿宋_GBK" w:hAnsi="方正仿宋_GBK" w:eastAsia="方正仿宋_GBK" w:cs="方正仿宋_GBK"/>
          <w:color w:val="000000"/>
          <w:sz w:val="24"/>
        </w:rPr>
        <w:t>如乙方维保人员和投标时不一致且未经甲方同意，甲方可单方面解除合同。</w:t>
      </w:r>
    </w:p>
    <w:p w14:paraId="2B9DF7D1">
      <w:pPr>
        <w:spacing w:line="480" w:lineRule="exact"/>
        <w:ind w:firstLine="482" w:firstLineChars="200"/>
        <w:outlineLvl w:val="2"/>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第五条 违约责任</w:t>
      </w:r>
    </w:p>
    <w:p w14:paraId="6638E80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若维保建筑和设施在乙方维保期间内发生火情，因火灾报警系统未及时发出警报或消防供水系统水压不足、无水等消防系统故障而酿成火灾的，乙方必须承担全部责任并赔偿所有损失，甲方有权按乙方违约处理。</w:t>
      </w:r>
    </w:p>
    <w:p w14:paraId="302A9CA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乙方应对消防设施进行检查、调试、维修，使整个消防系统具备报警、联动、自动灭火等应有的消防功能，各项运行状态正常，若乙方不能够按照故障突击抢修要求，不能够在规定的时间内进行抢修，甲方将根据实际情况，每次扣除全年维保费用的1%-3%，发生3次抢修不及时的，甲方有权按乙方违约处理，全部责任由乙方负责。</w:t>
      </w:r>
    </w:p>
    <w:p w14:paraId="6DC978E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3、乙方不能够按照日常维保要求，不能够在规定的时间内进行维保，甲方将从维保费用扣除2000元，若发生2次维保不及时的，甲方有权按乙方违约处理，全部责任由乙方负责。</w:t>
      </w:r>
    </w:p>
    <w:p w14:paraId="653030E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若因乙方失职、怠工维保人员履职不正常等原因造成消防设施运行不正常，经甲方或公安消防机关检查发现存在无法自动报警、灭火等严重问题，甲方有权终止与乙方合作关系，视作乙方违约，并追究乙方相关责任。</w:t>
      </w:r>
    </w:p>
    <w:p w14:paraId="04CFDE1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5、乙方不能保证维保质量，消防系统处于异常状态，达不到相关消防法律法规的要求，造成消防事故、人身财产损失、被消防管理部门罚款等一切责任由乙方承担。</w:t>
      </w:r>
    </w:p>
    <w:p w14:paraId="3586D9BD">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6、若因乙方失职、怠工等原因使得消防设施运行不正常，造成火灾等严重后果的，乙方承担所有法律责任及经济赔偿责任。</w:t>
      </w:r>
    </w:p>
    <w:p w14:paraId="115BFDE8">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7、除不可抗力（战争、天灾等）外，甲乙双方应严格遵守本合同的条款，否则，违约方须向另一方支付合同总造价10%的违约金，违约金不足以弥补另一方损失的，违约方还应就不足部分承担赔偿责任。</w:t>
      </w:r>
    </w:p>
    <w:p w14:paraId="11286362">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8、乙方的服务内容经验收不合格，经过乙方整改后仍不合格或者乙方未在甲方指定的期限内完成整改的，甲方有权单方面解除本合同，且有权要求乙方支付合同总价款的20%作为违约金。</w:t>
      </w:r>
    </w:p>
    <w:p w14:paraId="55795F9F">
      <w:pPr>
        <w:adjustRightInd w:val="0"/>
        <w:snapToGrid w:val="0"/>
        <w:spacing w:line="520" w:lineRule="exact"/>
        <w:ind w:firstLine="482" w:firstLineChars="200"/>
        <w:outlineLvl w:val="2"/>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第六条 知识产权及保密条款</w:t>
      </w:r>
    </w:p>
    <w:p w14:paraId="2C56395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1、乙方须保障甲方在中国使用其货物、服务及其任何部分不受到第三方关于侵犯任何知识产权的指控。第三方如果提出侵权指控，乙方须与第三方交涉并承担可能发生的一切法律责任和费用。</w:t>
      </w:r>
    </w:p>
    <w:p w14:paraId="02E3A67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7276CCF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52A32655">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4、乙方应采取必要措施保证其员工无论是在职中还是离职后均承担同样的保密义务。</w:t>
      </w:r>
    </w:p>
    <w:p w14:paraId="58027799">
      <w:pPr>
        <w:adjustRightInd w:val="0"/>
        <w:snapToGrid w:val="0"/>
        <w:spacing w:line="520" w:lineRule="exact"/>
        <w:ind w:firstLine="480" w:firstLineChars="200"/>
        <w:outlineLvl w:val="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 本协议变更、解除和终止后保密条款对双方仍有约束力。</w:t>
      </w:r>
    </w:p>
    <w:p w14:paraId="71B317EC">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6、若甲乙双方另行签订商业保密协议，则该协议与本条具有同等效力，不一致的部分以商业保密协议的约定为准。</w:t>
      </w:r>
    </w:p>
    <w:p w14:paraId="7EA9B5C9">
      <w:pPr>
        <w:adjustRightInd w:val="0"/>
        <w:snapToGrid w:val="0"/>
        <w:spacing w:line="520" w:lineRule="exact"/>
        <w:ind w:firstLine="482" w:firstLineChars="200"/>
        <w:outlineLvl w:val="2"/>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sz w:val="24"/>
          <w14:textFill>
            <w14:solidFill>
              <w14:schemeClr w14:val="tx1"/>
            </w14:solidFill>
          </w14:textFill>
        </w:rPr>
        <w:t>第七条 退出机制</w:t>
      </w:r>
    </w:p>
    <w:p w14:paraId="4FAFE65E">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甲方对乙方实行考核淘汰退出机制。</w:t>
      </w:r>
    </w:p>
    <w:p w14:paraId="2A2571DA">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（①）正常退出</w:t>
      </w:r>
    </w:p>
    <w:p w14:paraId="798D7988">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1、合同到期自动终止，正常退出</w:t>
      </w:r>
    </w:p>
    <w:p w14:paraId="437C3F3B">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合同到期后，根据合同约定，双方结清相关费用，办理移交手续后，乙方退场，合同自动终止。</w:t>
      </w:r>
    </w:p>
    <w:p w14:paraId="109298C6">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2、乙方提前退出</w:t>
      </w:r>
    </w:p>
    <w:p w14:paraId="62FB8B57">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因其他特殊原因乙方无法继续履行合同的，应提前至少三个月书面申请，经甲方研究批准，待甲方按程序完成下一轮服务的招标采购后，办理相关移交手续后，终止合同。在过渡期内，乙方须无条件继续保证正常服务，直至按照甲方要求移交，否则，造成的一切后果由乙方承担，乙方双倍赔偿甲方损失。</w:t>
      </w:r>
    </w:p>
    <w:p w14:paraId="671D7746">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（2）待甲方重新确定新的乙方，交接完成，新乙方正常进驻服务后，办理退场有关手续，合同解除。</w:t>
      </w:r>
    </w:p>
    <w:p w14:paraId="70759D21">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（②）强制退出</w:t>
      </w:r>
    </w:p>
    <w:p w14:paraId="6B19FFFC">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乙方在合同期间内出现下列情况之一，甲方有权单方面解除合同，责令退场。</w:t>
      </w:r>
    </w:p>
    <w:p w14:paraId="5F7E5045">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1、发生安全事故，造成重大影响，与乙方有关的；</w:t>
      </w:r>
    </w:p>
    <w:p w14:paraId="0BDA4C4C">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2、乙方违反《中华人民共和国消防法》、《安徽省消防条例》等法律法规，给甲方造成重大不良影响的；</w:t>
      </w:r>
    </w:p>
    <w:p w14:paraId="50ADC24B">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3、甲方在合同期内因乙方原因履约违法而受到司法部门或行业主管部门处理的；</w:t>
      </w:r>
    </w:p>
    <w:p w14:paraId="3503AA69">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4、服务期违约累计达到3次的；</w:t>
      </w:r>
    </w:p>
    <w:p w14:paraId="68AD5EF3">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5.年度考核不合格的；</w:t>
      </w:r>
    </w:p>
    <w:p w14:paraId="5E208431">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6、因服务质量存在问题等，引发群体事件影响恶劣的；</w:t>
      </w:r>
    </w:p>
    <w:p w14:paraId="207C2591">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7、乙方从投标环节开始直至服务期内，发现有弄虚作假行为的，包括无法实现投标文件中相关承诺内容要求。</w:t>
      </w:r>
    </w:p>
    <w:p w14:paraId="55B9F661">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强制退出的条件包括且不限于上述7条，凡强制退出的乙方须承担由此产生的一切经济损失及法律责任。</w:t>
      </w:r>
    </w:p>
    <w:p w14:paraId="5A2DC4BF">
      <w:pPr>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在甲方成功完成新的招标、新一轮乙方入驻之前，本项目乙方在接到强制退出通知七个日历天内退场。新一轮乙方确定、入场之后，甲方与乙方按合同约定办理相关移交手续。</w:t>
      </w:r>
    </w:p>
    <w:p w14:paraId="28E1C79A">
      <w:pPr>
        <w:adjustRightInd w:val="0"/>
        <w:snapToGrid w:val="0"/>
        <w:spacing w:line="520" w:lineRule="exact"/>
        <w:ind w:firstLine="482" w:firstLineChars="200"/>
        <w:outlineLvl w:val="2"/>
        <w:rPr>
          <w:rFonts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themeColor="text1"/>
          <w:sz w:val="24"/>
          <w14:textFill>
            <w14:solidFill>
              <w14:schemeClr w14:val="tx1"/>
            </w14:solidFill>
          </w14:textFill>
        </w:rPr>
        <w:t>第八条</w:t>
      </w:r>
      <w:r>
        <w:rPr>
          <w:rFonts w:hint="eastAsia" w:ascii="方正仿宋_GBK" w:hAnsi="方正仿宋_GBK" w:eastAsia="方正仿宋_GBK" w:cs="方正仿宋_GBK"/>
          <w:b/>
          <w:bCs/>
          <w:color w:val="000000"/>
          <w:sz w:val="24"/>
        </w:rPr>
        <w:t xml:space="preserve">  送达地址</w:t>
      </w:r>
    </w:p>
    <w:p w14:paraId="78B32E37">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3日视为已有效送达该方（无论另一方是否签收）。</w:t>
      </w:r>
    </w:p>
    <w:p w14:paraId="0D00FAE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甲方确认的通讯送达地址：合肥市瑶海区明光路东方大厦22楼</w:t>
      </w:r>
    </w:p>
    <w:p w14:paraId="79A7352E">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收件人：   李俊    联系电话：13013096733</w:t>
      </w:r>
    </w:p>
    <w:p w14:paraId="1EB012CF">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电子邮箱：953129827@qq.com</w:t>
      </w:r>
    </w:p>
    <w:p w14:paraId="63CE54A8">
      <w:pPr>
        <w:adjustRightInd w:val="0"/>
        <w:snapToGrid w:val="0"/>
        <w:spacing w:line="52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乙方确认的通讯送达地址：</w:t>
      </w:r>
    </w:p>
    <w:p w14:paraId="7D92997A">
      <w:pPr>
        <w:adjustRightInd w:val="0"/>
        <w:snapToGrid w:val="0"/>
        <w:spacing w:line="52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收件人：         联系电话：</w:t>
      </w:r>
    </w:p>
    <w:p w14:paraId="7C16E576">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电子邮箱：</w:t>
      </w:r>
    </w:p>
    <w:p w14:paraId="156DE1B9">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乙方未明确送达地址的，则以乙方工商注册地址（乙方系个人的，为身份证地址）为通讯送达地址。</w:t>
      </w:r>
    </w:p>
    <w:p w14:paraId="33792171">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2、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 </w:t>
      </w:r>
    </w:p>
    <w:p w14:paraId="4904BE79">
      <w:pPr>
        <w:widowControl/>
        <w:adjustRightInd w:val="0"/>
        <w:snapToGrid w:val="0"/>
        <w:spacing w:line="520" w:lineRule="exact"/>
        <w:ind w:firstLine="482"/>
        <w:outlineLvl w:val="2"/>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第九条   不可抗力</w:t>
      </w:r>
    </w:p>
    <w:p w14:paraId="560BFA4D">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248E4DB7">
      <w:pPr>
        <w:widowControl/>
        <w:adjustRightInd w:val="0"/>
        <w:snapToGrid w:val="0"/>
        <w:spacing w:line="520" w:lineRule="exact"/>
        <w:ind w:firstLine="482"/>
        <w:outlineLvl w:val="2"/>
        <w:rPr>
          <w:rFonts w:ascii="方正仿宋_GBK" w:hAnsi="方正仿宋_GBK" w:eastAsia="方正仿宋_GBK" w:cs="方正仿宋_GBK"/>
          <w:color w:val="333333"/>
          <w:kern w:val="0"/>
          <w:sz w:val="24"/>
        </w:rPr>
      </w:pPr>
      <w:r>
        <w:rPr>
          <w:rFonts w:hint="eastAsia" w:ascii="方正仿宋_GBK" w:hAnsi="方正仿宋_GBK" w:eastAsia="方正仿宋_GBK" w:cs="方正仿宋_GBK"/>
          <w:b/>
          <w:bCs/>
          <w:color w:val="000000"/>
          <w:sz w:val="24"/>
        </w:rPr>
        <w:t>第十条   争议的解决</w:t>
      </w:r>
    </w:p>
    <w:p w14:paraId="024834FC">
      <w:pPr>
        <w:widowControl/>
        <w:adjustRightInd w:val="0"/>
        <w:snapToGrid w:val="0"/>
        <w:spacing w:line="520" w:lineRule="exact"/>
        <w:ind w:firstLine="48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1、各方在本合同项下产生争议，应当首先友好协商解决。协商不成，任何一方均有权向甲方所在地人民法院起诉解决。</w:t>
      </w:r>
    </w:p>
    <w:p w14:paraId="2725504F">
      <w:pPr>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2、本合同中任何条款的无效不应影响本合同其他条款的效力，在解决争议的过程中，各方应按本合同所有其他有效条款的约定继续履行本合同。</w:t>
      </w:r>
    </w:p>
    <w:p w14:paraId="5D86B959">
      <w:pPr>
        <w:widowControl/>
        <w:adjustRightInd w:val="0"/>
        <w:snapToGrid w:val="0"/>
        <w:spacing w:line="520" w:lineRule="exact"/>
        <w:ind w:firstLine="482"/>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第十一条 其他事项                                                                                                                                                                                                                                                                                                                                                                                                                                                                                                                                                                                                                                                                                                                                                                                                                                                                                                                                                                                                                                                                                                                                                                                                                                                                                                                                                                                                                                                                                                                                                                                                                                                                                                                                                                                                                                                                                                                                                                                                                                                                                                                                                                                                                                                                                                                                                                                                                                                                                                                                                                                                                                                                                                                                                                                                                                                                                                                                                                                                                                                                                                                                                                                                                                                                                                                                                                                                                                                                                                                                                                                                                                                                                                                                                                                                                                                                                                                                                                                                                                                                                                                                                                                                       </w:t>
      </w:r>
      <w:r>
        <w:rPr>
          <w:rFonts w:hint="eastAsia" w:ascii="方正仿宋_GBK" w:hAnsi="方正仿宋_GBK" w:eastAsia="方正仿宋_GBK" w:cs="方正仿宋_GBK"/>
          <w:b/>
          <w:bCs/>
          <w:color w:val="000000"/>
          <w:sz w:val="24"/>
        </w:rPr>
        <w:t xml:space="preserve">                                                                                                                                                                                                                                                                                                                                                                                                                                                                                                                                                                                                                                                                                                                                                                                                                                                                                                                                                                                                                                                                                                                                                                                                                                                                                                                                                                                                                                                                                                                                                                                                                                                                                                                                                                                                                                                                                                                                                                                                                                                                                                                                                                                                                                                                                                                                                                                                                                                                                                                                                                                                                                                                                                             </w:t>
      </w:r>
    </w:p>
    <w:p w14:paraId="1481633A">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1、乙方保证：拥有签订和履行本合同全部义务所必需的所有合法权利以及所有内部和外部的批准、授权和许可。</w:t>
      </w:r>
    </w:p>
    <w:p w14:paraId="42C85E05">
      <w:pPr>
        <w:widowControl/>
        <w:adjustRightInd w:val="0"/>
        <w:snapToGrid w:val="0"/>
        <w:spacing w:line="520" w:lineRule="exact"/>
        <w:ind w:firstLine="480" w:firstLineChars="200"/>
        <w:outlineLvl w:val="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2、本合同签订前，乙方应向甲方提供下列证明文件或材料：</w:t>
      </w:r>
    </w:p>
    <w:p w14:paraId="1BCBB744">
      <w:pPr>
        <w:widowControl/>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（1）营业执照复印件、法定代表人身份证明文件；</w:t>
      </w:r>
    </w:p>
    <w:p w14:paraId="7142702F">
      <w:pPr>
        <w:widowControl/>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（2）签名人如为代理人，本合同签名人的授权委托书；</w:t>
      </w:r>
    </w:p>
    <w:p w14:paraId="1CD6BC07">
      <w:pPr>
        <w:widowControl/>
        <w:adjustRightInd w:val="0"/>
        <w:snapToGrid w:val="0"/>
        <w:spacing w:line="52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（3）甲方要求提供的其它资质证明文件、资料；</w:t>
      </w:r>
    </w:p>
    <w:p w14:paraId="74F8233E">
      <w:pPr>
        <w:widowControl/>
        <w:adjustRightInd w:val="0"/>
        <w:snapToGrid w:val="0"/>
        <w:spacing w:line="520" w:lineRule="exact"/>
        <w:ind w:firstLine="480" w:firstLineChars="200"/>
        <w:outlineLvl w:val="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3、本合同经甲、乙双方法定代表人或授权代表签名、盖章后生效。</w:t>
      </w:r>
    </w:p>
    <w:p w14:paraId="6E6D0565">
      <w:pPr>
        <w:spacing w:line="480" w:lineRule="exact"/>
        <w:ind w:firstLine="480" w:firstLineChars="200"/>
        <w:rPr>
          <w:rFonts w:ascii="方正仿宋_GBK" w:hAnsi="方正仿宋_GBK" w:eastAsia="方正仿宋_GBK" w:cs="方正仿宋_GBK"/>
          <w:b/>
          <w:bCs/>
          <w:sz w:val="24"/>
        </w:rPr>
      </w:pPr>
      <w:r>
        <w:rPr>
          <w:rFonts w:hint="eastAsia" w:ascii="方正仿宋_GBK" w:hAnsi="方正仿宋_GBK" w:eastAsia="方正仿宋_GBK" w:cs="方正仿宋_GBK"/>
          <w:color w:val="000000"/>
          <w:sz w:val="24"/>
        </w:rPr>
        <w:t>4、本合同正本一式【陆】份，甲方执【叁】份，乙方执【叁】份，均具有同等法律效力。</w:t>
      </w:r>
    </w:p>
    <w:p w14:paraId="6774E7E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5、按本合同规定应该偿付的违约金、赔偿金和各种经济损失，应当在明确责任后十五天内付清，否则按逾期付款处理，甲方有权自应支付的款项中予以扣除。</w:t>
      </w:r>
    </w:p>
    <w:p w14:paraId="0AF17EA2">
      <w:pPr>
        <w:widowControl/>
        <w:adjustRightInd w:val="0"/>
        <w:snapToGrid w:val="0"/>
        <w:spacing w:line="520" w:lineRule="exact"/>
        <w:ind w:firstLine="480" w:firstLineChars="200"/>
        <w:outlineLvl w:val="1"/>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6、本合同如有未尽事宜，经双方友好协商，另签补充协议。</w:t>
      </w:r>
    </w:p>
    <w:p w14:paraId="6D93CE09">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7、双方签订认可的施工方案及其它经双方签字确认的书面材料均为本合同的组成部分，与本合同具同等效力。</w:t>
      </w:r>
    </w:p>
    <w:p w14:paraId="5A54308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【以下无正文】</w:t>
      </w:r>
    </w:p>
    <w:p w14:paraId="6AD644E4">
      <w:pPr>
        <w:adjustRightInd w:val="0"/>
        <w:snapToGrid w:val="0"/>
        <w:spacing w:line="520" w:lineRule="exact"/>
        <w:rPr>
          <w:rFonts w:ascii="方正仿宋_GBK" w:hAnsi="方正仿宋_GBK" w:eastAsia="方正仿宋_GBK" w:cs="方正仿宋_GBK"/>
          <w:b/>
          <w:bCs/>
          <w:color w:val="000000"/>
          <w:sz w:val="24"/>
        </w:rPr>
      </w:pPr>
    </w:p>
    <w:p w14:paraId="391DD238">
      <w:pPr>
        <w:adjustRightInd w:val="0"/>
        <w:snapToGrid w:val="0"/>
        <w:spacing w:line="520" w:lineRule="exact"/>
        <w:rPr>
          <w:rFonts w:ascii="方正仿宋_GBK" w:hAnsi="方正仿宋_GBK" w:eastAsia="方正仿宋_GBK" w:cs="方正仿宋_GBK"/>
          <w:b/>
          <w:bCs/>
          <w:color w:val="000000"/>
          <w:sz w:val="24"/>
        </w:rPr>
      </w:pPr>
    </w:p>
    <w:p w14:paraId="48167DB1">
      <w:pPr>
        <w:adjustRightInd w:val="0"/>
        <w:snapToGrid w:val="0"/>
        <w:spacing w:line="520" w:lineRule="exact"/>
        <w:rPr>
          <w:rFonts w:ascii="方正仿宋_GBK" w:hAnsi="方正仿宋_GBK" w:eastAsia="方正仿宋_GBK" w:cs="方正仿宋_GBK"/>
          <w:b/>
          <w:bCs/>
          <w:color w:val="000000"/>
          <w:sz w:val="24"/>
        </w:rPr>
      </w:pPr>
    </w:p>
    <w:p w14:paraId="21E0D6DB">
      <w:pPr>
        <w:spacing w:line="592" w:lineRule="exact"/>
        <w:ind w:left="6480" w:hanging="6480" w:hangingChars="2700"/>
        <w:rPr>
          <w:rFonts w:ascii="方正仿宋_GBK" w:hAnsi="方正仿宋_GBK" w:eastAsia="方正仿宋_GBK" w:cs="方正仿宋_GBK"/>
          <w:sz w:val="24"/>
        </w:rPr>
      </w:pPr>
      <w:r>
        <w:rPr>
          <w:rFonts w:hint="eastAsia" w:ascii="方正仿宋_GBK" w:hAnsi="方正仿宋_GBK" w:eastAsia="方正仿宋_GBK" w:cs="方正仿宋_GBK"/>
          <w:sz w:val="24"/>
        </w:rPr>
        <w:t>甲方（盖章）：                             乙方（盖章）：</w:t>
      </w:r>
    </w:p>
    <w:p w14:paraId="499F4415">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法定代表人或授权委托人：                   法定代表人或授权委托人：</w:t>
      </w:r>
    </w:p>
    <w:p w14:paraId="7E03C021">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（签字或盖章）                            （签字或盖章）</w:t>
      </w:r>
    </w:p>
    <w:p w14:paraId="70EE9E68">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0D3FF5B1">
      <w:pPr>
        <w:spacing w:line="592"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日期：                                     日期：</w:t>
      </w:r>
    </w:p>
    <w:p w14:paraId="69C14F28">
      <w:pPr>
        <w:adjustRightInd w:val="0"/>
        <w:snapToGrid w:val="0"/>
        <w:spacing w:line="520" w:lineRule="exact"/>
        <w:rPr>
          <w:rFonts w:ascii="方正仿宋_GBK" w:hAnsi="方正仿宋_GBK" w:eastAsia="方正仿宋_GBK" w:cs="方正仿宋_GBK"/>
          <w:color w:val="000000"/>
          <w:sz w:val="24"/>
        </w:rPr>
      </w:pPr>
    </w:p>
    <w:p w14:paraId="380692CA">
      <w:pPr>
        <w:adjustRightInd w:val="0"/>
        <w:snapToGrid w:val="0"/>
        <w:spacing w:line="520" w:lineRule="exact"/>
        <w:rPr>
          <w:rFonts w:ascii="方正仿宋_GBK" w:hAnsi="方正仿宋_GBK" w:eastAsia="方正仿宋_GBK" w:cs="方正仿宋_GBK"/>
          <w:color w:val="000000"/>
          <w:sz w:val="24"/>
        </w:rPr>
      </w:pPr>
    </w:p>
    <w:p w14:paraId="6F3A2061">
      <w:pPr>
        <w:adjustRightInd w:val="0"/>
        <w:snapToGrid w:val="0"/>
        <w:spacing w:line="520" w:lineRule="exact"/>
        <w:rPr>
          <w:rFonts w:ascii="方正仿宋_GBK" w:hAnsi="方正仿宋_GBK" w:eastAsia="方正仿宋_GBK" w:cs="方正仿宋_GBK"/>
          <w:color w:val="000000"/>
          <w:sz w:val="24"/>
        </w:rPr>
      </w:pPr>
    </w:p>
    <w:p w14:paraId="23F910A4">
      <w:pPr>
        <w:adjustRightInd w:val="0"/>
        <w:snapToGrid w:val="0"/>
        <w:spacing w:line="520" w:lineRule="exact"/>
        <w:rPr>
          <w:rFonts w:ascii="方正仿宋_GBK" w:hAnsi="方正仿宋_GBK" w:eastAsia="方正仿宋_GBK" w:cs="方正仿宋_GBK"/>
          <w:color w:val="000000"/>
          <w:sz w:val="24"/>
        </w:rPr>
      </w:pPr>
    </w:p>
    <w:p w14:paraId="25003088">
      <w:pPr>
        <w:adjustRightInd w:val="0"/>
        <w:snapToGrid w:val="0"/>
        <w:spacing w:line="520" w:lineRule="exact"/>
        <w:rPr>
          <w:rFonts w:ascii="方正仿宋_GBK" w:hAnsi="方正仿宋_GBK" w:eastAsia="方正仿宋_GBK" w:cs="方正仿宋_GBK"/>
          <w:color w:val="000000"/>
          <w:sz w:val="24"/>
        </w:rPr>
      </w:pPr>
    </w:p>
    <w:p w14:paraId="135299CA">
      <w:pPr>
        <w:adjustRightInd w:val="0"/>
        <w:snapToGrid w:val="0"/>
        <w:spacing w:line="520" w:lineRule="exact"/>
        <w:rPr>
          <w:rFonts w:ascii="方正仿宋_GBK" w:hAnsi="方正仿宋_GBK" w:eastAsia="方正仿宋_GBK" w:cs="方正仿宋_GBK"/>
          <w:color w:val="000000"/>
          <w:sz w:val="24"/>
        </w:rPr>
      </w:pPr>
    </w:p>
    <w:p w14:paraId="62E29FB1">
      <w:pPr>
        <w:adjustRightInd w:val="0"/>
        <w:snapToGrid w:val="0"/>
        <w:spacing w:line="520" w:lineRule="exact"/>
        <w:rPr>
          <w:rFonts w:ascii="方正仿宋_GBK" w:hAnsi="方正仿宋_GBK" w:eastAsia="方正仿宋_GBK" w:cs="方正仿宋_GBK"/>
          <w:color w:val="000000"/>
          <w:sz w:val="24"/>
        </w:rPr>
      </w:pPr>
    </w:p>
    <w:p w14:paraId="2B1523D1">
      <w:pPr>
        <w:adjustRightInd w:val="0"/>
        <w:snapToGrid w:val="0"/>
        <w:spacing w:line="520" w:lineRule="exact"/>
        <w:rPr>
          <w:rFonts w:ascii="方正仿宋_GBK" w:hAnsi="方正仿宋_GBK" w:eastAsia="方正仿宋_GBK" w:cs="方正仿宋_GBK"/>
          <w:color w:val="000000"/>
          <w:sz w:val="24"/>
        </w:rPr>
      </w:pPr>
    </w:p>
    <w:p w14:paraId="650BCC96">
      <w:pPr>
        <w:adjustRightInd w:val="0"/>
        <w:snapToGrid w:val="0"/>
        <w:spacing w:line="520" w:lineRule="exact"/>
        <w:rPr>
          <w:rFonts w:ascii="方正仿宋_GBK" w:hAnsi="方正仿宋_GBK" w:eastAsia="方正仿宋_GBK" w:cs="方正仿宋_GBK"/>
          <w:color w:val="000000"/>
          <w:sz w:val="24"/>
        </w:rPr>
      </w:pPr>
    </w:p>
    <w:p w14:paraId="10B47129">
      <w:pPr>
        <w:adjustRightInd w:val="0"/>
        <w:snapToGrid w:val="0"/>
        <w:spacing w:line="520" w:lineRule="exact"/>
        <w:rPr>
          <w:rFonts w:ascii="方正仿宋_GBK" w:hAnsi="方正仿宋_GBK" w:eastAsia="方正仿宋_GBK" w:cs="方正仿宋_GBK"/>
          <w:color w:val="000000"/>
          <w:sz w:val="24"/>
        </w:rPr>
      </w:pPr>
    </w:p>
    <w:p w14:paraId="7565DD20">
      <w:pPr>
        <w:ind w:firstLine="482" w:firstLineChars="200"/>
        <w:outlineLvl w:val="1"/>
        <w:rPr>
          <w:rFonts w:ascii="方正仿宋_GBK" w:hAnsi="方正仿宋_GBK" w:eastAsia="方正仿宋_GBK" w:cs="方正仿宋_GBK"/>
          <w:b/>
          <w:bCs/>
          <w:color w:val="000000"/>
          <w:kern w:val="0"/>
          <w:sz w:val="24"/>
        </w:rPr>
      </w:pPr>
    </w:p>
    <w:p w14:paraId="68940D88">
      <w:pPr>
        <w:ind w:firstLine="482" w:firstLineChars="200"/>
        <w:outlineLvl w:val="1"/>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附件1：维保细则</w:t>
      </w:r>
    </w:p>
    <w:p w14:paraId="12D801A9">
      <w:pPr>
        <w:ind w:firstLine="480" w:firstLineChars="200"/>
        <w:outlineLvl w:val="1"/>
        <w:rPr>
          <w:rFonts w:ascii="方正仿宋_GBK" w:hAnsi="方正仿宋_GBK" w:eastAsia="方正仿宋_GBK" w:cs="方正仿宋_GBK"/>
          <w:sz w:val="24"/>
        </w:rPr>
      </w:pPr>
      <w:r>
        <w:rPr>
          <w:rFonts w:hint="eastAsia" w:ascii="方正仿宋_GBK" w:hAnsi="方正仿宋_GBK" w:eastAsia="方正仿宋_GBK" w:cs="方正仿宋_GBK"/>
          <w:sz w:val="24"/>
        </w:rPr>
        <w:t>（一）维保要求</w:t>
      </w:r>
    </w:p>
    <w:p w14:paraId="03C46F6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1、乙方按照消防法律法规，以及《建筑消防设施的维护管理》（GB 25201）等消防技术标准规定的内容、程序、周期等要求，开展建筑消防设施检查、维护维修、保养、测试等技术服务，对故障进行原因排查与解决处理；24小时响应甲方报修电话，并向甲方提供操作培训与技术咨询服务；对维护保养和服务质量负责，确保消防设施完好有效；因维保未达到法律法规和标准产生消防系统故障产生火灾的，依法承担相应责任；</w:t>
      </w:r>
    </w:p>
    <w:p w14:paraId="21F2DFC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乙方在巡查、巡检中发现消防设施存在问题、故障，或者接到甲方通知要求维修的，能够当场修复的应当立即修复解决；没有条件立即修复解决的，应当在12小时内组织维修，尽快排除故障，并依法依规向消防管理部门报告；</w:t>
      </w:r>
    </w:p>
    <w:p w14:paraId="7D7F4D1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3、开展技术服务应当做出客观、完整的记录，记录表采用</w:t>
      </w:r>
      <w:bookmarkStart w:id="4" w:name="OLE_LINK5"/>
      <w:r>
        <w:rPr>
          <w:rFonts w:hint="eastAsia" w:ascii="方正仿宋_GBK" w:hAnsi="方正仿宋_GBK" w:eastAsia="方正仿宋_GBK" w:cs="方正仿宋_GBK"/>
          <w:sz w:val="24"/>
        </w:rPr>
        <w:t>《建筑消防设施的维护管理》（GB 25201）附录</w:t>
      </w:r>
      <w:bookmarkEnd w:id="4"/>
      <w:r>
        <w:rPr>
          <w:rFonts w:hint="eastAsia" w:ascii="方正仿宋_GBK" w:hAnsi="方正仿宋_GBK" w:eastAsia="方正仿宋_GBK" w:cs="方正仿宋_GBK"/>
          <w:sz w:val="24"/>
        </w:rPr>
        <w:t>（附录B建筑消防设施故障维修记录表、附录D建筑消防设施检测记录表、附录E建筑消防设施维护保养表）规定的统一的记录表式样，由经办人、项目负责人签名，并经委托方管理人员确认；乙方需提交月度和年度维护保养、设备运行状况报告向甲方汇报，发现问题及时提出整改意见，以便甲方随时检查。保证随时发现和解决问题，确保设备运行状况良好。</w:t>
      </w:r>
    </w:p>
    <w:p w14:paraId="17BEA62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4、因重大节日、活动消防安全需要，配合甲方对消防设施进行检测和消防检查、消防培训，以及其它相关工作。做好消防设施资料建档工作，及时更新台帐资料。</w:t>
      </w:r>
    </w:p>
    <w:p w14:paraId="07FA1FB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在合同签订后提供服务前成立维保小组，分工明确（应有具体成员名单，包括姓名、职务、职称、工作岗位、联系方式等），确保全天24小时通讯通畅，维保小组组长须定期前往甲方了解维保情况。合同签订后未经甲方书面同意不得随意变更项目组负责人和成员。</w:t>
      </w:r>
    </w:p>
    <w:p w14:paraId="21A02DCA">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6、维保小组组长须具备以下维保能力，能够独立提供以下服务：</w:t>
      </w:r>
    </w:p>
    <w:p w14:paraId="1909649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（1）操作、维修保养火灾自动报警、自动灭火系统等消防设施；</w:t>
      </w:r>
    </w:p>
    <w:p w14:paraId="1864D64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（2）检测火灾自动报警器、自动灭火系统等消防设施；</w:t>
      </w:r>
    </w:p>
    <w:p w14:paraId="6F7CA74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（3）换装消防管道软接头、消防栓接头、稳压泵、排污泵、主水泵、排污泵供电控制箱等维保服务。</w:t>
      </w:r>
    </w:p>
    <w:p w14:paraId="1C2A079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（4）检测、换装、调试烟感、喷淋、报警开关、消防广播、风机等维保服务；</w:t>
      </w:r>
    </w:p>
    <w:p w14:paraId="1371F9B6">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（5）检测、维护、换装消防控制柜和消防线路等维保服务；</w:t>
      </w:r>
    </w:p>
    <w:p w14:paraId="1685640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（6）检测、维护、换装消防指示灯、消防水箱水柜设备等维保服务；</w:t>
      </w:r>
    </w:p>
    <w:p w14:paraId="165B412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（7）检测、维护、换装七氟丙烷气体灭火系统；</w:t>
      </w:r>
    </w:p>
    <w:p w14:paraId="45DE47A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（8）停车场内安装的其它消防设施设备和器材的维保操作；</w:t>
      </w:r>
    </w:p>
    <w:p w14:paraId="7B6EF7F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为保证维保项目良好运行，投标人在开标前可自行勘察现场了解甲方消防现状，合同签订后负责对现有故障的维修及损坏配件的更换，并承担相关费用；合同期满后，乙方标人应保证所有消防设施设备处于正常运转状态下交付甲方。</w:t>
      </w:r>
    </w:p>
    <w:p w14:paraId="6B2C21C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为甲方管理人员提供消防设施的相关技术咨询与培训（相关费用包含在投标总价中），确保其能正常操作。协助甲方建立健全安全管理制度、消防安全技术档案、消防维保档案，配合甲方开展每年停车场壹次消防应急演练和日常各单位消防应急演练。</w:t>
      </w:r>
    </w:p>
    <w:p w14:paraId="17181E1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乙方应在维保期第一月内完成所有消防控制室、消防泵房、地下室、室内和室外的管网管线开关等设施的螺丝坚固和防锈，进行首次全面保养；并对停车场内消防系统每一台设施设备线路进行彻底检查，做好台帐。</w:t>
      </w:r>
    </w:p>
    <w:p w14:paraId="13463F2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维保检测施工过程中，必须设置必要的防护和警示标志。高空施工必需配戴安帽及安全带。因维保检测施工发生任何安生意外事故与甲方无关，但维保检测施工中违规造成甲方相关工作人员的人身和财产损害和损失的，将由乙方承担一切经济和法律责任。</w:t>
      </w:r>
    </w:p>
    <w:p w14:paraId="08F09D5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11、本消防维保项目要求，消防设施设备单件损坏价格≤100元，由乙方负责进行更换与维修；消防设施设备单件损坏价格&gt;100元，由甲方承担该配件的购买费用，乙方负责进行更换与维修。</w:t>
      </w:r>
    </w:p>
    <w:p w14:paraId="11D20AD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巡检时间：要求对停车场维保范围内的所有消防设施设备器材每月巡查2次；重点部位消防设施设备，每周巡检1次，其它设施设备按要求定期检查维保，同时维保消防专业技术人员随时随到解决甲方消防管理单位和物业服务单位的消防方面的技术问题。</w:t>
      </w:r>
    </w:p>
    <w:p w14:paraId="41F5F4C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13、乙方要及时高效保质保量维保，确保维保范围内的消防系统处于正常可用状态，达到相关消防法律法规的要求，因消防系统不能正常工作或不符合相关消防法律法规的要求，造成消防事故、人身财产损失、被消防管理部门罚款等一切责任由乙方承担。</w:t>
      </w:r>
    </w:p>
    <w:p w14:paraId="13BD468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乙方需安排消防部门认可的消防检测公司按照国家规定每年对停车场内消防设施进行（年度）建筑消防设施检测和消防安全评估，乙方确保年检通过，并出具消防部门认可的《建筑消防设施检测报告》和《消防安全评估报告》，报消防部门备案。未通过消防检测和评估，乙方维修，直至通过检测和评估。否则，甲方有权按乙方违约处理，并扣除一个周期维保费用的10%作为赔偿，检测和评估费用包含在投标报价中。</w:t>
      </w:r>
    </w:p>
    <w:p w14:paraId="5F4650CC">
      <w:pPr>
        <w:ind w:firstLine="480" w:firstLineChars="200"/>
        <w:outlineLvl w:val="1"/>
        <w:rPr>
          <w:rFonts w:ascii="方正仿宋_GBK" w:hAnsi="方正仿宋_GBK" w:eastAsia="方正仿宋_GBK" w:cs="方正仿宋_GBK"/>
          <w:sz w:val="24"/>
        </w:rPr>
      </w:pPr>
      <w:r>
        <w:rPr>
          <w:rFonts w:hint="eastAsia" w:ascii="方正仿宋_GBK" w:hAnsi="方正仿宋_GBK" w:eastAsia="方正仿宋_GBK" w:cs="方正仿宋_GBK"/>
          <w:sz w:val="24"/>
        </w:rPr>
        <w:t>（二）维保内容</w:t>
      </w:r>
    </w:p>
    <w:p w14:paraId="27969A1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停车场全部消防系统设施设备器材均属于在本项目维保内容之内。凡是乙方检查到的或其它方检查到的异常，均需要按国家规范和本项目采购文件要求进行恢复、保养、维修或换装到位，确保消防系统达标并正常运行。</w:t>
      </w:r>
    </w:p>
    <w:p w14:paraId="57A176F6">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1、室内外消防栓系统的维护保养</w:t>
      </w:r>
    </w:p>
    <w:p w14:paraId="685D8DB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半月检查消防栓箱配置是否完整齐全，包括检查每个消防栓口的静压是否符合设计规范要求，检查栓口橡胶是否老化、龟裂或脱落，检查水带是否霉烂、穿孔，检查卷盘胶管是否老化、龟裂，检查破玻按钮是否破碎；</w:t>
      </w:r>
    </w:p>
    <w:p w14:paraId="681270D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（2）每半月检查测试消防栓破玻系统，试验破玻按钮，警铃是否鸣响、消防水泵是否启动、消防中心是否有报警信号及消防水泵状态显示；</w:t>
      </w:r>
    </w:p>
    <w:p w14:paraId="2680776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（3）每月检查各阀门是否处于正常工作状态，是否完好不渗漏；</w:t>
      </w:r>
    </w:p>
    <w:p w14:paraId="2972395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（4）每月检查保养消防栓系统的水泵接合器，确保完整、不渗漏；</w:t>
      </w:r>
    </w:p>
    <w:p w14:paraId="1E0F511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（5）每月试验消防栓，检查其喷水充实水柱是否达到规范或设计要求；</w:t>
      </w:r>
    </w:p>
    <w:p w14:paraId="4CA5E06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（6）每月试验安全泄压阀是否灵敏、可靠，检查水锤吸纳器工作是否有效；</w:t>
      </w:r>
    </w:p>
    <w:p w14:paraId="129F9AF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（7）每月检查消防栓管网的减压阀及其过滤器是否正常，定期清洗过滤器；</w:t>
      </w:r>
    </w:p>
    <w:p w14:paraId="1009397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（8）每月检查阀门是否开关灵活、有效，阀门关闭不严或不能灵活使用的应及时修理，对阀门的接触面发现有缺陷的，需进行研磨工作，无法修复的予以更换。定期对阀门转动部位和螺栓加黄油润滑；</w:t>
      </w:r>
    </w:p>
    <w:p w14:paraId="4CED8EF9">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（9）每月检查止回阀启闭是否灵活、有效；</w:t>
      </w:r>
    </w:p>
    <w:p w14:paraId="5092C80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（10）每月检查消火栓箱内设备是否齐全，是否破损、老化、霉变；</w:t>
      </w:r>
    </w:p>
    <w:p w14:paraId="2A1007F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（11）每月外观检查管道、阀门有无漏水，阀门是否位于开启状态；</w:t>
      </w:r>
    </w:p>
    <w:p w14:paraId="440E3F4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（12）每月检查破玻按钮外观有无破损，远程启动水泵测试；</w:t>
      </w:r>
    </w:p>
    <w:p w14:paraId="719EA1F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（13）每月检查水泵控制箱所处控制状态是否正确；</w:t>
      </w:r>
    </w:p>
    <w:p w14:paraId="6DB887C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（14）消防水泵手动、自动状态下启动试验。</w:t>
      </w:r>
    </w:p>
    <w:p w14:paraId="5B3CB6E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（15）每月用专用扳手转动室外消火栓启闭杆，观察其灵活性。必要时加注润滑油；</w:t>
      </w:r>
    </w:p>
    <w:p w14:paraId="43409F6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（16）每月检查室外消火栓栓体外表油漆有无剥落，有无锈蚀，如有应及时修补；</w:t>
      </w:r>
    </w:p>
    <w:p w14:paraId="212FAE6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（17）每月对地上室外消火栓逐一进行出水试验；</w:t>
      </w:r>
    </w:p>
    <w:p w14:paraId="3D4153B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（18）每月定期检查室外消火栓前端阀门井；</w:t>
      </w:r>
    </w:p>
    <w:p w14:paraId="0E349DB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（19）每季检查破玻按钮外观有无破损，远程启动水泵测试；</w:t>
      </w:r>
    </w:p>
    <w:p w14:paraId="13927AD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（20）每季检查水泵控制箱所处控制状态是否正确；</w:t>
      </w:r>
    </w:p>
    <w:p w14:paraId="757EBD3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（21）每季消防水泵手动、自动状态下启动试验。</w:t>
      </w:r>
    </w:p>
    <w:p w14:paraId="1A2E4C5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（22）每季度检查室外消火栓出水口闷盖是否密封，有无缺损，开启大、小闷盖,放掉锈水,清除污物,对润滑部位擦洗加油(膏),将大、小闷盖旋紧；对故障室外消火栓及阀门及时维修，更换；</w:t>
      </w:r>
    </w:p>
    <w:p w14:paraId="7D33593A">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（23）每年检查电动机是否损伤、锈蚀，机械性能是否良好；</w:t>
      </w:r>
    </w:p>
    <w:p w14:paraId="35F30C0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（24）每年检查水泵轴与电动机连接部位是否松动、变形、损伤和严重锈蚀；</w:t>
      </w:r>
    </w:p>
    <w:p w14:paraId="4821D32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（25）每年检查轴承润滑油是否加足，油污严重污染、变质现象，用手转动检查转动是否正常；</w:t>
      </w:r>
    </w:p>
    <w:p w14:paraId="54AE016A">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（26）每年检查继电器是否脱落、松动，接触器接点是否烧损。</w:t>
      </w:r>
    </w:p>
    <w:p w14:paraId="32792A9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（27）每年对消防栓系统管网进行全面检查，对腐蚀严重的管道予与更换，对油漆脱落的管道及时除锈刷防锈漆和标志漆。</w:t>
      </w:r>
    </w:p>
    <w:p w14:paraId="6D635F42">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（28）每年做好室外消火栓冬季的保温、保养等防护工作。</w:t>
      </w:r>
    </w:p>
    <w:p w14:paraId="184A4B9C">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2、自动喷水灭火系统的维护保养</w:t>
      </w:r>
    </w:p>
    <w:p w14:paraId="7543510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（1）每半月检查试验楼层喷淋管网末端试验装置是否正常（水压、流量是否达到要求）；</w:t>
      </w:r>
    </w:p>
    <w:p w14:paraId="32892E1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（2）每半月检查试验水流指示器动作是否灵敏，报警是否及时准确，复位是否正常，消防中心是否有显示等；</w:t>
      </w:r>
    </w:p>
    <w:p w14:paraId="53BA4EEC">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（3）每半月检查喷淋头、管道是否完好，有无爆裂隐患；</w:t>
      </w:r>
    </w:p>
    <w:p w14:paraId="2D72856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（4）每半月检查各个阀门是否处于正常开启状态，试验楼层信号阀门开关是否灵活，消防中心是否有关闭信号显示；</w:t>
      </w:r>
    </w:p>
    <w:p w14:paraId="1D74C02C">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（5）每半月检查保养喷淋系统的水泵接合器，确保完整、不渗漏；</w:t>
      </w:r>
    </w:p>
    <w:p w14:paraId="22FD263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（6）每半月定期试验安全泄压阀是否灵敏、可靠，检查水锤吸纳器工作是否有效；</w:t>
      </w:r>
    </w:p>
    <w:p w14:paraId="64AFB15E">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（7）每半月检查喷淋立管的自动排气阀的工作状态是否正常；</w:t>
      </w:r>
    </w:p>
    <w:p w14:paraId="4334557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（8）每半月检查试验湿式报警阀、水力警铃动作是否灵敏，喷淋泵是否启动，消防中心显示是否准确；</w:t>
      </w:r>
    </w:p>
    <w:p w14:paraId="49C07D4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（9）每半月定期检查阀门是否开关灵活、有效，阀门关闭不严或不能灵活使用的应及时修理，对阀门的接触面发现有缺陷的，需进行研磨工作，无法修复的予以更换。定期对阀门转动部位螺栓加黄油；</w:t>
      </w:r>
    </w:p>
    <w:p w14:paraId="78937AC3">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（10）每半月检查止回阀启闭是否灵活、有效；</w:t>
      </w:r>
    </w:p>
    <w:p w14:paraId="4CD986D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（11）每月检查消防水池、消防水箱及消防气压给水设备一次，对其消防储备水位及消防气压给水设备的气体压力进行检查，并应对保证消防用水不被挪作他用的措施进行检查，发现故障，应及时进行处理；</w:t>
      </w:r>
    </w:p>
    <w:p w14:paraId="5016FDF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（12）每月消防水泵启动运转一次。当消防水泵为自动控制启动时，应每月摸拟自动控制的条件启动运转一次；</w:t>
      </w:r>
    </w:p>
    <w:p w14:paraId="1D1A8D82">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（13）每月检查电磁阀并作启动试验，动作失常时应及时更换；</w:t>
      </w:r>
    </w:p>
    <w:p w14:paraId="1EB3695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（14）每月应对系统上所有的铅封、锁链进行一次检查，当有损坏时，应及时修理或更换；</w:t>
      </w:r>
    </w:p>
    <w:p w14:paraId="63DD733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（15）每月检查消防水泵接合器的接口及附件一次，并应保证接口完好、无渗漏、闷盖齐全； </w:t>
      </w:r>
    </w:p>
    <w:p w14:paraId="4199F6C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（16）每月检查喷头外视一次，当发现有不正常的喷头应及时更换；当喷头上有异物时应及时清除。更换或安装喷头均应使用专用扳手。</w:t>
      </w:r>
    </w:p>
    <w:p w14:paraId="4A9DC69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（17）每季度应对报警阀旁的放水试验阀进行一次供水试验，验证系统的供水能力；</w:t>
      </w:r>
    </w:p>
    <w:p w14:paraId="21D7E6C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（18）每季度检查室外阀门井中，进水管上的控制阀门一次，核实处于全开启状态。</w:t>
      </w:r>
    </w:p>
    <w:p w14:paraId="72BCE69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（19）每年检查测定水源的供水能力；对喷淋系统管网进行全面检查，对腐蚀严重的管道予与更换，对油漆脱落的管道及时除锈刷防锈漆和标志漆。</w:t>
      </w:r>
    </w:p>
    <w:p w14:paraId="53E6EC3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（20）每年检查消防储水设备一次，修补缺损和重新油漆。</w:t>
      </w:r>
    </w:p>
    <w:p w14:paraId="5D01178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（21）喷头的检查维保方法</w:t>
      </w:r>
    </w:p>
    <w:p w14:paraId="0DF17C0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外观检查：检查喷头有无损坏、锈蚀、漏水现象，如存在应及时维修或更换；</w:t>
      </w:r>
    </w:p>
    <w:p w14:paraId="0430D3E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抽样检查：使用年限较长的系统，应按要求对喷头进行抽查，对不符合喷头产品要求的喷头要更换；</w:t>
      </w:r>
    </w:p>
    <w:p w14:paraId="603EA60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维护保养：对轻质粉尘可用空气吹除或用软布擦净；对容易形成结垢的尘埃，如喷漆雾粒、水泥粉等就不易清除，只能分批拆换喷头，集中清理，但不能用酸或碱溶液洗刷易熔元件洒水喷头，也不要用热水或热的溶液洗刷。</w:t>
      </w:r>
    </w:p>
    <w:p w14:paraId="5E7340B7">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（22）管路系统的检查维保方法</w:t>
      </w:r>
    </w:p>
    <w:p w14:paraId="068689D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外观检查：检查管道有无机械损伤、油漆脱落、锈蚀等，管道固定是否牢固，发现问题应及时处理；</w:t>
      </w:r>
    </w:p>
    <w:p w14:paraId="7262E36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清除堵塞：自动喷水灭火系统管路中，可能因施工疏忽残留有砂、石、木屑或水源带来的垃圾、铁锈等，这样会造成喷头堵塞、报警阀关闭不严、水力警铃输水管堵塞等，从而影响灭火效果。如发现管路有沉积物，应进行冲洗；</w:t>
      </w:r>
    </w:p>
    <w:p w14:paraId="56B9FE1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防漏措施：平时严禁将管子用作其他支撑；拆装喷头时必须按操作规程应用合适的工具，切忌直接钳住喷头悬臂进行旋紧或拧松；管路的防腐涂层应视情况而定，一般每隔3～5年应重新涂刷一次。</w:t>
      </w:r>
    </w:p>
    <w:p w14:paraId="3856A4BC">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（23）报警阀的检查维保方法</w:t>
      </w:r>
    </w:p>
    <w:p w14:paraId="6EFA7FF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开阀试验：对报警阀应进行开阀试验，观察阀门开启性能和密封性能，以及水力警铃、延迟器等性能。此试验可通过末端试验装置进行。如发现阀门开启不畅或密封不严，可拆开阀门检查，视情况调换阀瓣密封件；</w:t>
      </w:r>
    </w:p>
    <w:p w14:paraId="1B0CCF8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对安装的压力表要定期检查。检查报警阀前、后压力表指示是否正常。</w:t>
      </w:r>
    </w:p>
    <w:p w14:paraId="55820D96">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（24）水源及水泵的检查维保方法</w:t>
      </w:r>
    </w:p>
    <w:p w14:paraId="79501F6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检查消防水池的水位能否保持消防用水量：水位标尺是否正常工作：水池各种阀门是否处于正常状态：有无受冻的可能。</w:t>
      </w:r>
    </w:p>
    <w:p w14:paraId="11D1086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检查消防水箱的水量能否满足要求；消防气压给水装置能否保证水量和水压；自动控制系统能否正常工作。</w:t>
      </w:r>
    </w:p>
    <w:p w14:paraId="1B3B755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检查消防水泵能否正常运转，流量和压力能否保证；消防水泵的动力是否可靠；电力上有无保证不间断供电设施，其性能是否良好；内燃机的储油量是否充足。</w:t>
      </w:r>
    </w:p>
    <w:p w14:paraId="531146F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检查消防水泵接合器是否正常，附近的室外消火栓使用是否便利。</w:t>
      </w:r>
    </w:p>
    <w:p w14:paraId="58DD8DE9">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（25）自动喷水灭火系统功能检查维保方法</w:t>
      </w:r>
    </w:p>
    <w:p w14:paraId="469A055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应按照各类系统的设计规定，通过末端试验装置喷水试验，对系统功能进行检查，即检查各种组件在火灾状态时，能否按设计要求动作，火灾报警设备是否正常。如发现系统有不正常的部件时，应及时进行维修，直到系统全部功能正常。</w:t>
      </w:r>
    </w:p>
    <w:p w14:paraId="1DCC2224">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（26）自动喷水灭火使用环境检查维保方法</w:t>
      </w:r>
    </w:p>
    <w:p w14:paraId="3B468DC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使用环境及保护对象被人为地作了不恰当的改变，往往会成为对系统功能的损害因素。例如在仓库内货物堆放高度不适当地增大而阻挡了喷头的喷洒范围；喷头被刷漆而延迟了动作灵敏度等，因而对使用环境和条件要定期检查，不符合要求的要改正。</w:t>
      </w:r>
    </w:p>
    <w:p w14:paraId="1CB8F451">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3、火灾自动报警系统的维护保养</w:t>
      </w:r>
    </w:p>
    <w:p w14:paraId="7E817AA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（1）每月用专用测试仪器分期分批次全面测试探测器的动作及确认灯的显示，试验烟、温感探测器动作是否灵敏；</w:t>
      </w:r>
    </w:p>
    <w:p w14:paraId="484C21F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（2）每月检查试验主控屏是否正常，有报警信号源时是否正确显示某区探测器动作，警铃蜂鸣是否鸣响；</w:t>
      </w:r>
    </w:p>
    <w:p w14:paraId="2BC059A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（3）每半月试验手报按钮报警，本层及其上、下各一层警铃是否动作鸣响，消防中心显示报警区域是否准确；</w:t>
      </w:r>
    </w:p>
    <w:p w14:paraId="0D3C096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（4）每半月检查主控屏和联动控制屏的各项输入、输出显示功能是否正常，并全面清洁、保养；</w:t>
      </w:r>
    </w:p>
    <w:p w14:paraId="53407A1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（5）每半月检查各个界面（模块）和主机系统外围设备的通信、控制信号是否正常，检查界面（模块）输出电压是否正常，确保正常运行；</w:t>
      </w:r>
    </w:p>
    <w:p w14:paraId="6B97E85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（6）每半月检查工作电池组、充电器的工作状态以及检查备用电池的电压及其他指标参数是否符合要求；</w:t>
      </w:r>
    </w:p>
    <w:p w14:paraId="3DB94FB6">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（7）每半月检查系统设备所有接线端子是否松动、破损和脱落；</w:t>
      </w:r>
    </w:p>
    <w:p w14:paraId="0933C79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（8）每月对备用电源进行1～2次充放电试验；1～3次主和备用电源自动切换试验；</w:t>
      </w:r>
    </w:p>
    <w:p w14:paraId="227BE65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（9）每半月定期对感烟、感温探测器进行清洁，必要时进行清洗，确保报警灵敏；</w:t>
      </w:r>
    </w:p>
    <w:p w14:paraId="064030D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（10）每半月定期检测报警主机控制程序是否有乱码，确保主机功能正常；</w:t>
      </w:r>
    </w:p>
    <w:p w14:paraId="679F239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（11）每半月测试报警主机系统的接地电阻是否满足要求，并做好记录；</w:t>
      </w:r>
    </w:p>
    <w:p w14:paraId="5F243BA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（12）每月检查、试验和维持复位、消音、故障报警等功能；</w:t>
      </w:r>
    </w:p>
    <w:p w14:paraId="0C10740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（13）每月检查、试验和维持火灾警报装置的声、光显示等功能；</w:t>
      </w:r>
    </w:p>
    <w:p w14:paraId="6E409AB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（14）每月检查、试验和维持电源和备用电源自动转换功能；</w:t>
      </w:r>
    </w:p>
    <w:p w14:paraId="3F7B6A3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（15）每季采用加烟(或加温)的方法分期分批(10％)试验探测器的动作是否正常，及确认灯显示。试验中发现有故障或失效的探测器应及时拆换；</w:t>
      </w:r>
    </w:p>
    <w:p w14:paraId="7CA5B73C">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（16）每季试验火灾警报装置的声、光显示是否正常并处置；</w:t>
      </w:r>
    </w:p>
    <w:p w14:paraId="7C73660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（17）每季进行主电源和备用电源自动转换试验，检查其功能是否正常并处置；</w:t>
      </w:r>
    </w:p>
    <w:p w14:paraId="721E878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（18）每季检查手动／自动转换开关，如电源转换开关、灭火转换开关等是否正常并处置；</w:t>
      </w:r>
    </w:p>
    <w:p w14:paraId="1842A75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（19）每季直观检查所有消防用电设备的动力线、控制线、报警信号传输线、接地线、接线盒及设备等是否处于安全无损状态；</w:t>
      </w:r>
    </w:p>
    <w:p w14:paraId="501B090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（20）每季巡视检查探测器、手动报警按钮和指示装置的位置是否准确，有无缺漏、脱落和丢失，每个探测器的下方及周围各方向，手动报警按钮的周围是否留有规定的空白空间。</w:t>
      </w:r>
    </w:p>
    <w:p w14:paraId="3836298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（21）每年采用加烟(或加温)的方法对安装的所有探测器全部检查试验一遍并及时处理；</w:t>
      </w:r>
    </w:p>
    <w:p w14:paraId="10E3438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（22）每年主电源和备用电源自动转换试验，检查其功能是否正常并及时处理；</w:t>
      </w:r>
    </w:p>
    <w:p w14:paraId="79A19F8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（23）每年检查手动／自动转换开关，如电源转换开关、灭火转换开关等转换开关是否正常并及时处理；</w:t>
      </w:r>
    </w:p>
    <w:p w14:paraId="4872CF7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（24）每年检查所有接线端子是否有松动、破损和脱落现象并及时处理；</w:t>
      </w:r>
    </w:p>
    <w:p w14:paraId="778D1F8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（25）探测器每年全部清洗一遍。清洗后作响应阈值及其他必要的功能试验，试验不合格的探测器一律报废，更换新的探测器并及时处理。</w:t>
      </w:r>
    </w:p>
    <w:p w14:paraId="7C006DF0">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4、防火卷帘的维护保养 </w:t>
      </w:r>
    </w:p>
    <w:p w14:paraId="37868AF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（1）每半月试验感烟、感温探测器的联动卷帘降落的功能是否正常；</w:t>
      </w:r>
    </w:p>
    <w:p w14:paraId="3F8F276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（2）每半月试验现场手动控制按钮的功能是否正常，试验防火卷帘远程启降功能是否正常；</w:t>
      </w:r>
    </w:p>
    <w:p w14:paraId="71E6D721">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（3）每半月试验防火卷帘控制器的功能是否正常；</w:t>
      </w:r>
    </w:p>
    <w:p w14:paraId="3FD808D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（4）每半月检查试验卷帘导轨和转动机构（含链条）运转是否正常，检查卷帘叶片有无变形；</w:t>
      </w:r>
    </w:p>
    <w:p w14:paraId="5DD82A0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（5）每半月试验防火卷帘的联动功能是否正常，降落时消防中心有无显示。</w:t>
      </w:r>
    </w:p>
    <w:p w14:paraId="48D1F78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（6）每月检查、测试防火卷帘门两侧手动按钮功能是否正常；</w:t>
      </w:r>
    </w:p>
    <w:p w14:paraId="3A1303B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（7）每月检查、测试声光报警工作是否正常；</w:t>
      </w:r>
    </w:p>
    <w:p w14:paraId="06814F8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（8）每月检查、测试升降是否平稳，有无卡死、停顿等现象；</w:t>
      </w:r>
    </w:p>
    <w:p w14:paraId="29D3D62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（9）每季加烟、加温测试烟、温感报警并联动防火卷帘门动作是否正常；</w:t>
      </w:r>
    </w:p>
    <w:p w14:paraId="3ECBDBF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（10）每季检查、测试防火卷帘门两侧手动按钮功能是否正常；</w:t>
      </w:r>
    </w:p>
    <w:p w14:paraId="2DC2F40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（11）每季检查、测试声光报警工作是否正常；</w:t>
      </w:r>
    </w:p>
    <w:p w14:paraId="2B1904E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（12）每季检查、测试升降是否平稳，有无卡死、停顿等现象；</w:t>
      </w:r>
    </w:p>
    <w:p w14:paraId="79DD6FD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（13）每年加烟、加温测试烟、温感报警并联动防火卷帘门动作是否正常；</w:t>
      </w:r>
    </w:p>
    <w:p w14:paraId="3F17D90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（14）每年检查、测试声光报警工作是否正常；</w:t>
      </w:r>
    </w:p>
    <w:p w14:paraId="10EEBB0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（15）每年检查、测试防火卷帘门两侧手动按钮功能是否正常；</w:t>
      </w:r>
    </w:p>
    <w:p w14:paraId="318A370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（16）每年检查、测试卷帘门升降是否平稳，有无卡死、停顿等现象；</w:t>
      </w:r>
    </w:p>
    <w:p w14:paraId="1E6D59C4">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（17）每年检查控制箱显示是否正常。</w:t>
      </w:r>
    </w:p>
    <w:p w14:paraId="6419685A">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5、通讯系统的维护保养</w:t>
      </w:r>
    </w:p>
    <w:p w14:paraId="3DC52EB8">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（1）每半月检查消防专用电话或插孔是否完好；</w:t>
      </w:r>
    </w:p>
    <w:p w14:paraId="509E238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（2）每半月定期试验每个消防专用电话或插孔的通讯是否畅通，语音是否清晰、响亮，消防中心电话主机显示通话部位是否正确。</w:t>
      </w:r>
    </w:p>
    <w:p w14:paraId="5DC503D2">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6、消防广播的维护保养 </w:t>
      </w:r>
    </w:p>
    <w:p w14:paraId="6A30881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（1）每半月试验火灾应急广播设备的功能是否正常。在试验中不论扬声器当时处于何种工作状态，都应能紧急切换到火灾事故广播上，音响清晰；</w:t>
      </w:r>
    </w:p>
    <w:p w14:paraId="62E1133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（2）每半月检查保养消防扬声器，测试楼层扬声器的效果，声响是否响亮清晰；</w:t>
      </w:r>
    </w:p>
    <w:p w14:paraId="6FAC49A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（3）每半月定期对消防广播主机进行一次检测维护保养；</w:t>
      </w:r>
    </w:p>
    <w:p w14:paraId="3F9174F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（4）每半月试验消防广播的选层广播功能是否正常；</w:t>
      </w:r>
    </w:p>
    <w:p w14:paraId="4A41DD1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（5）每月在消防控制室用话筒对所选区域播音，检查音响效果。每个消防专用电话或插孔的通讯是否畅通，语音是否清晰、响亮，消防中心电话主机显示通话部位是否正确；</w:t>
      </w:r>
    </w:p>
    <w:p w14:paraId="5BCC54C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（6）每月在公共广播扩音机处于关闭和播放状态下，自动和手动强制切换火灾应急广播；</w:t>
      </w:r>
    </w:p>
    <w:p w14:paraId="48DD862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（7）每季度自动控制方式下，分别触发两个相关的火灾探测器或触发手动报警按钮后，核对启动火灾应急广播的区域、检查音响效果；</w:t>
      </w:r>
    </w:p>
    <w:p w14:paraId="7570458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（8）每季度用声级计测试启动火灾应急广播前的环境噪音，当大于 60dB时，重复测量启动火灾应急广播后扬声器播音范围内最远点的声压级，并与环境噪音对比。</w:t>
      </w:r>
    </w:p>
    <w:p w14:paraId="6F294C0C">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7、消防联动系统（含防排烟系统）的维护保养</w:t>
      </w:r>
    </w:p>
    <w:p w14:paraId="1E57651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（1）每月检查试验消防正压送风机（排烟风机）及正压送风阀（排烟阀）的联动功能是否正常；</w:t>
      </w:r>
    </w:p>
    <w:p w14:paraId="19CEF40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（2）每月测试空调通风系统、排风系统的防火阀功能及联动讯号功能是否正常；</w:t>
      </w:r>
    </w:p>
    <w:p w14:paraId="3373CED6">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（3）每月测试消防电梯的人工迫降的信号功能是否正常；</w:t>
      </w:r>
    </w:p>
    <w:p w14:paraId="7CD2C6F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（4）每月测试非消防电梯迫降首层的信号和联锁信号功能是否正常；</w:t>
      </w:r>
    </w:p>
    <w:p w14:paraId="3D28397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（5）每月测试以上各联动机构消防中心相应控制屏的讯号是否正常；</w:t>
      </w:r>
    </w:p>
    <w:p w14:paraId="4B32542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（6）每月测试楼层非消防电源自动切断功能是否正常；</w:t>
      </w:r>
    </w:p>
    <w:p w14:paraId="64D2B9D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（7）检查试验联动警铃的功能是否正常；</w:t>
      </w:r>
    </w:p>
    <w:p w14:paraId="0330B2B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（8）每月检查试验联动广播的功能是否正常；</w:t>
      </w:r>
    </w:p>
    <w:p w14:paraId="7E44099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（9）每月测试正压送风机（排烟风机）现场和远程启停控制功能是否正常；</w:t>
      </w:r>
    </w:p>
    <w:p w14:paraId="1331B9A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（10）每月对正压送风机（排烟风机）、正压送风阀（排烟阀）进行保养，对转动部位加润滑油并调整风机皮带松紧度等；</w:t>
      </w:r>
    </w:p>
    <w:p w14:paraId="75AC48E8">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（11）防排烟系统外观检查方法。</w:t>
      </w:r>
    </w:p>
    <w:p w14:paraId="6D75D52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吸烟口有无变形、损伤，周围有无影响吸烟的障碍；</w:t>
      </w:r>
    </w:p>
    <w:p w14:paraId="5C802AF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用于自动启动装置的感烟(感温)探测器有无变形、损伤，安装是否松动脱落。手动启动装置的操作箱有无变形、损伤：手柄、操作杆等有无损伤、脱落：操作部位标志有无破损、脏污、脱落，有无使用方法的说明；</w:t>
      </w:r>
    </w:p>
    <w:p w14:paraId="3BFC225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风管有无变形、损伤，支撑是否松动；风管是否与可然物接触；</w:t>
      </w:r>
    </w:p>
    <w:p w14:paraId="52BD2AD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送风、排烟风机 周围有无可燃物；安装螺栓是否松动、损伤；传动机构是否变形、损伤；叶轮是否与外壳接触；电动机的接线是否松动：电动机的外壳有无腐蚀现象；电源的供电是否正常(检查电压表或电源指示灯)。</w:t>
      </w:r>
    </w:p>
    <w:p w14:paraId="3E210A1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排烟口风机与排烟口连接部位的法兰有无损伤，螺栓是否松动；雨淋部分有无锈蚀、损伤；排烟口周围有无影响烟气排出的障碍。</w:t>
      </w:r>
    </w:p>
    <w:p w14:paraId="148BFC1B">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（12）防排烟系统性能检查方法</w:t>
      </w:r>
    </w:p>
    <w:p w14:paraId="595347B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①吸烟口。进行手动启闭操作，检查是否可完全打开(与排烟风机联动时，应停止联动机构的动作)；吸烟口架、操作盘、排烟阀及安装架是否锈蚀、有无杂物粘附；旋转机构是否灵活，是否完全打开；制动机构、限位器是否符合要求；关闭部位是否生锈、粘附灰尘。</w:t>
      </w:r>
    </w:p>
    <w:p w14:paraId="6AF2076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②风管。检查风管底部有无异物；防火阀是否因涂漆、杂物粘附而影响启闭，安装部位是否松动；连接部位是否漏烟。</w:t>
      </w:r>
    </w:p>
    <w:p w14:paraId="6212B37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③启动装置。打开启动盘，检查内部有无变形、损伤及动作异常，用万用表检查电源情况，是否有影响送风(排烟)风机启动的电压下降情况；开关类有无变形、损伤、脱落，开关位置是否正常；接线端子是否松动、脱落；保险丝的容量是否符合送风(排烟)风机的性能要求，是否损伤、脱落，有无备件；继电器是否脱落、端子是否松动、接点是否烧损、有无灰尘粘附，动作是否正常； 导线连接是否牢固，有无脱落。</w:t>
      </w:r>
    </w:p>
    <w:p w14:paraId="027AB25F">
      <w:pPr>
        <w:ind w:firstLine="480" w:firstLineChars="200"/>
        <w:outlineLvl w:val="4"/>
        <w:rPr>
          <w:rFonts w:ascii="方正仿宋_GBK" w:hAnsi="方正仿宋_GBK" w:eastAsia="方正仿宋_GBK" w:cs="方正仿宋_GBK"/>
          <w:sz w:val="24"/>
        </w:rPr>
      </w:pPr>
      <w:r>
        <w:rPr>
          <w:rFonts w:hint="eastAsia" w:ascii="方正仿宋_GBK" w:hAnsi="方正仿宋_GBK" w:eastAsia="方正仿宋_GBK" w:cs="方正仿宋_GBK"/>
          <w:sz w:val="24"/>
        </w:rPr>
        <w:t>④自动启动装置的火灾探测器端子、引线是否断线、松动。</w:t>
      </w:r>
    </w:p>
    <w:p w14:paraId="3819A27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⑤手动启动装置，与送风(排烟)风机有联动装置时，应将联动机构脱开，用单手转动或拉动操作箱手柄，检查动作是否正常；手柄是否破损、钢丝绳是否折断生锈。</w:t>
      </w:r>
    </w:p>
    <w:p w14:paraId="4A7A21F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⑥送风(排烟)风机。检查轴承部分润滑油状态是否异常(脏污、混入泥沙、尘等)；启动电动机，检查风机旋转是否正常(转向、振动、杂音等)；检查电动机的轴承部位润滑油是否正常；检查传动皮带是否松动(用手按时，轴距为1m时，皮带下降小于一个皮带的厚度)；启动电动机，旋转时有无异常振动、杂音。</w:t>
      </w:r>
    </w:p>
    <w:p w14:paraId="4A76122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⑦综合检查。操作手动或自动启动装置，进行每个防烟分区(或正压送风)的动作试验，检查下列事项：手动或自动能否完成启动；运转电流是否正常； 运转中是否有不规则或不连续杂音及异常振动；叶轮旋转方向是否正确。</w:t>
      </w:r>
    </w:p>
    <w:p w14:paraId="2EA3C4C1">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8、水泵、恒压泵、控制柜、联动柜的维护保养</w:t>
      </w:r>
    </w:p>
    <w:p w14:paraId="5BBFDE6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（1）每半月检查试验自动和手动启动消防水泵，观察流量、压力、运行电流是否正常，并做好记录存档；</w:t>
      </w:r>
    </w:p>
    <w:p w14:paraId="6AC306E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（2）每半月检查各控制柜到消防中心信号是否正常，控制柜各指示灯各功能是否正常；</w:t>
      </w:r>
    </w:p>
    <w:p w14:paraId="56ECB9B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（3）每半月定期检查联动柜内部电路，测试其功能是否正常，并进行吸尘、紧固接线的保养工作；</w:t>
      </w:r>
    </w:p>
    <w:p w14:paraId="529C72B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（4）每半月检查消防水泵主备电源自动切换装置是否正常。打开水泵出水管上的放水试验阀，用主电源启动消防水泵，消防水泵启动应正常；关掉主电源，主、备电源切换正常，试验1-3次；</w:t>
      </w:r>
    </w:p>
    <w:p w14:paraId="56EAF31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（5）每半月测试水泵的运转及对地电阻是否符合要求，并做好记录；</w:t>
      </w:r>
    </w:p>
    <w:p w14:paraId="0E7D5E5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（6）每半月定期测试消防水泵的故障自投功能是否正常；</w:t>
      </w:r>
    </w:p>
    <w:p w14:paraId="7A98783B">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（7）每季度添加或更换水泵的润滑油；</w:t>
      </w:r>
    </w:p>
    <w:p w14:paraId="464966B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（8）每月检查消防控制主机电源。检查系统电压偏移是否在允许范围内，系统电源标准﹕AC 197V~242V 50Hz 1Hz。查看消防控制配电箱的标志以及仪表、指示灯、开关、控制按钮。检查主电源和备用电源之间的自动切换是否正常。检查方式﹕a自动控制方式下,手动切断消防主电源,观察备用消防电源的投入以及指示灯的显示。b人为控制方式下,在低压配电室应先切断消防主电源,后闭合备用消防电源,观察备用消防电源的投入以及指示灯的显示。c每季度要对备用电源进行1～2次充放电实验,1～3次主电源和备用电源自动切换实验；</w:t>
      </w:r>
    </w:p>
    <w:p w14:paraId="08F68148">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每月检查消防控制主机。触发自检键，进行功能自检。对控制器电源全部发光显示器进行检验,并循环三次。对Ⅱ级编程继电器进行检验,检验期间继电器触点动作,但输出+24V撤消。对打印机功能进行检验。对控制器的主要硬件接口芯片,存储器芯片及各类插件的主要I芯片进行自动实时故障检测。切断主电源，查看备用直流电源自动投入和主、备电源的状态显示情况。在备用直流电源供电状态下，进行断路故障报警及火警优先功能；</w:t>
      </w:r>
    </w:p>
    <w:p w14:paraId="73CA51D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每月报警功能检测。类比探测器、手动报警按钮断路故障，查看故障显示。断路故障报警期间，采用发烟装置或温度不低于54℃的热源先后向同一回路中两个探测器施放烟气或加热，查看火灾报警控制器的火警信号、报警部位显示及记录。每个探测器检测后，只消音，不重定。用万用表测量火灾报警控制器的联动输出信号。系统重定，恢复到正常警戒状态。</w:t>
      </w:r>
    </w:p>
    <w:p w14:paraId="33B379A8">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9、应急照明疏散系统的维护保养</w:t>
      </w:r>
    </w:p>
    <w:p w14:paraId="074EEAF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（1）每半月检查防火门的开启力度是否适中，闭门器有无漏油或松动；</w:t>
      </w:r>
    </w:p>
    <w:p w14:paraId="7997C8E8">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（2）每半月检查双扇防火门的关闭顺序是否正确；</w:t>
      </w:r>
    </w:p>
    <w:p w14:paraId="4F0376A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（3）每半月检查防火门的密封性是否良好，钢质防火门有无生锈、脱漆现象；</w:t>
      </w:r>
    </w:p>
    <w:p w14:paraId="52EC913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（4）每半月检查应急灯、出口指示灯、疏散指示灯的外观是否完好，灯炮（管）有无烧毁，充放电试验是否正常；</w:t>
      </w:r>
    </w:p>
    <w:p w14:paraId="588B673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（5）每月测试应急灯、出口及疏散指示灯的蓄电量是否达到规范要求时间,试验应急照明灯和疏散指示灯切断电源后是否能正常工作；</w:t>
      </w:r>
    </w:p>
    <w:p w14:paraId="77043F7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防火门检查维保方法。检查防火门向疏散方向开启的平开门，并在关闭后应能从任何一侧手动开启；检查用于疏散走道、楼梯间和前室的防火门，能否自动关闭；双扇和多扇防火门，检查顺序闭门器是否正常；检查设在变形缝隙附近的防火门，应设在楼层较多的一侧，且门开启后是否跨越变形缝，防止烟火通过变形缝蔓延扩大；防火门上部的缝隙、孔洞采用不燃烧材料填充，并应达到相应的耐火极限要求。</w:t>
      </w:r>
    </w:p>
    <w:p w14:paraId="79047E51">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10、七氟丙烷气体灭火系统的维护保养</w:t>
      </w:r>
    </w:p>
    <w:p w14:paraId="3C6ED672">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（1）检查保养各台气体灭火控制器，测试其功能是否正常；</w:t>
      </w:r>
    </w:p>
    <w:p w14:paraId="0325B85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（2）检查启动瓶药剂贮瓶的压力是否符合出厂充装压力和设计要求（压力表指针是否在绿区），有无泄漏现象；</w:t>
      </w:r>
    </w:p>
    <w:p w14:paraId="591DD52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（3）检查试验手动、自动、紧急启、停放气装置功能是否正常；</w:t>
      </w:r>
    </w:p>
    <w:p w14:paraId="6886C9B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（4）定期对电磁阀、瓶头阀解体清洗，加硅油润滑；</w:t>
      </w:r>
    </w:p>
    <w:p w14:paraId="15F5DAE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模拟自动报警系统中的烟、温感探测器同时动作，通风空调是否停止，防火阀是否关闭，检查气瓶的电磁阀是否在规定的时间内动作，控制屏是否有放气信号，消防中心是否有信号，警铃、蜂鸣器是否动作；</w:t>
      </w:r>
    </w:p>
    <w:p w14:paraId="13DAE2A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（6）检查气体灭火系统启动瓶、药剂瓶有无变形，有无腐蚀、脱漆；</w:t>
      </w:r>
    </w:p>
    <w:p w14:paraId="4F36C0C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（7）检查控制气管有无变形或松脱，检查高压软管有无变形、生锈或老化；</w:t>
      </w:r>
    </w:p>
    <w:p w14:paraId="028E08B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（8）检查气体保护区域（防护区）内的围护结构、开口等是否符合要求；</w:t>
      </w:r>
    </w:p>
    <w:p w14:paraId="1DF0B1A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（9）泡沫液罐。检查泡沫液开关自动开启是否正常运转；检查液位计是否完好；检查罐体卫生情况等。</w:t>
      </w:r>
    </w:p>
    <w:p w14:paraId="35DBA8AA">
      <w:pPr>
        <w:ind w:firstLine="480" w:firstLineChars="200"/>
        <w:outlineLvl w:val="2"/>
        <w:rPr>
          <w:rFonts w:ascii="方正仿宋_GBK" w:hAnsi="方正仿宋_GBK" w:eastAsia="方正仿宋_GBK" w:cs="方正仿宋_GBK"/>
          <w:sz w:val="24"/>
        </w:rPr>
      </w:pPr>
      <w:r>
        <w:rPr>
          <w:rFonts w:hint="eastAsia" w:ascii="方正仿宋_GBK" w:hAnsi="方正仿宋_GBK" w:eastAsia="方正仿宋_GBK" w:cs="方正仿宋_GBK"/>
          <w:sz w:val="24"/>
        </w:rPr>
        <w:t>11、消防管道、水泵、水泵结合器等其它消防设备设施的维护保养</w:t>
      </w:r>
    </w:p>
    <w:p w14:paraId="46E2423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（1）所有消防控制室、消防泵房、地下室、室内和室外的管网管线设施的螺丝坚固、防锈和维护维修保养。注意乙方维保第一个月需完成停车场内管网管线设施的全部螺丝坚固、防锈保养一次。</w:t>
      </w:r>
    </w:p>
    <w:p w14:paraId="71125A18">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（2）对故障室外水泵接合器及时维修，更换。</w:t>
      </w:r>
    </w:p>
    <w:p w14:paraId="68173411">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（3）每月检查水泵结合器的密封件是否老化、漏水，如老化应及时更换；</w:t>
      </w:r>
    </w:p>
    <w:p w14:paraId="5D355900">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（4）每月检查水泵接合器外表油漆有无剥落，有无锈蚀，如有应及时修补；</w:t>
      </w:r>
    </w:p>
    <w:p w14:paraId="62A4334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（5）每季度在水泵结合器的螺纹处涂上润滑油脂,以免锈死；</w:t>
      </w:r>
    </w:p>
    <w:p w14:paraId="504F582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（6）每年冬季前做好水泵接合器冬季的保温、保养等防护工作；</w:t>
      </w:r>
    </w:p>
    <w:p w14:paraId="0EF5763C">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（7）检查安全出口、疏散通道是否畅通；</w:t>
      </w:r>
    </w:p>
    <w:p w14:paraId="79C599C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（8）检查消防水池、消防水箱能否满足正常工作需要，技术参数是否在正常范围内。并检查消防补水泵工作情况。满足正常补水要求；</w:t>
      </w:r>
    </w:p>
    <w:p w14:paraId="2CA8AFFF">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（9）消防水池。每月查看补水设施。每半年对水源的供水能力进行一次测定。每年对消防水池进行清洗、排污；</w:t>
      </w:r>
    </w:p>
    <w:p w14:paraId="5E74A1A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（10）消防管路系统。观察稳压泵的启动频率，确定管网有无渗漏现象。每季度需对不少于10%的管道末端进行放水，确保管道内的水质良好，并对水流指示器的报警功能进行检查；</w:t>
      </w:r>
    </w:p>
    <w:p w14:paraId="3B6B5419">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外观检查：检查管道有无机械损伤、油漆脱落、锈蚀等，管道固定是否牢固，发现问题应及时处理。</w:t>
      </w:r>
    </w:p>
    <w:p w14:paraId="1F860C4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清除堵塞：系统管道中,可能因施工疏忽残留有砂、石、木屑或水源带来的垃圾、铁锈等，这样会造成喷头堵塞、报警阀关闭不严、水力警铃输水管堵塞等；</w:t>
      </w:r>
    </w:p>
    <w:p w14:paraId="7492381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稳压泵及气压水罐，每月检查应依据如下步骤进行﹕打开排气阀，检查是否能够自动加压；打开试验排水阀，检查减水时能否自动供水，加压装置及供水装置压力表是否显示正常；打开排气阀或试验排水阀时，为防止气压水罐内的压力较高造成危险应慢慢将阀门打开。</w:t>
      </w:r>
    </w:p>
    <w:p w14:paraId="287FAA72">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（12）消防水泵</w:t>
      </w:r>
    </w:p>
    <w:p w14:paraId="44BA9F4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①每月查看水泵和阀门的标志；转动阀门手轮，检查阀门状态；观察阀杆及手轮位置；阀杆是否需要加注润滑油。</w:t>
      </w:r>
    </w:p>
    <w:p w14:paraId="467CFB5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②每月在泵房控制柜处启动水泵，查看运行情况。消防水泵应每月启动运转1～3次；当消防水泵为自动控制启动时，应每月类比自动控制的条件启动运转1～3次。手动、自动控制启水泵1～3次，查信号有否返馈，水压是否上升，电机转动是否正常。有无变形、发热等状况。轴与电机、连接部件是否有松动、锈蚀、变形、发热，是否要加油。运行时间一般不少于5分钟。</w:t>
      </w:r>
    </w:p>
    <w:p w14:paraId="43C27026">
      <w:pPr>
        <w:ind w:firstLine="480" w:firstLineChars="200"/>
        <w:outlineLvl w:val="4"/>
        <w:rPr>
          <w:rFonts w:ascii="方正仿宋_GBK" w:hAnsi="方正仿宋_GBK" w:eastAsia="方正仿宋_GBK" w:cs="方正仿宋_GBK"/>
          <w:sz w:val="24"/>
        </w:rPr>
      </w:pPr>
      <w:r>
        <w:rPr>
          <w:rFonts w:hint="eastAsia" w:ascii="方正仿宋_GBK" w:hAnsi="方正仿宋_GBK" w:eastAsia="方正仿宋_GBK" w:cs="方正仿宋_GBK"/>
          <w:sz w:val="24"/>
        </w:rPr>
        <w:t>③每月在消防主机控制室启动水泵，查看运行及反馈信号。</w:t>
      </w:r>
    </w:p>
    <w:p w14:paraId="1555493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④每月检查消防水泵动力运行是否可靠，水泵能否正常运转，流量和压力能否保证；电力上有无保证不间断供电设施，其性能是否良好。</w:t>
      </w:r>
    </w:p>
    <w:p w14:paraId="03E6433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⑤每月检查主、备泵能否自动切换;水泵接合器每月查看标志牌、止回阀。</w:t>
      </w:r>
    </w:p>
    <w:p w14:paraId="33AD10A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⑥每月检查压力表是否变形、水泵启动后动作是否正常。</w:t>
      </w:r>
    </w:p>
    <w:p w14:paraId="11640287">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⑦每月启动水泵后，打开试验阀，观察压力保持情况。</w:t>
      </w:r>
    </w:p>
    <w:p w14:paraId="44C1A931">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（13）电控柜</w:t>
      </w:r>
    </w:p>
    <w:p w14:paraId="5484A6D3">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①每月检查控制柜有无变形、损伤、腐蚀。</w:t>
      </w:r>
    </w:p>
    <w:p w14:paraId="0000C75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②每月检查线路图及操作说明是否齐全。</w:t>
      </w:r>
    </w:p>
    <w:p w14:paraId="38EB4006">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③每月检查电压、电流表的指标是否在规定的范围内。开关是否有变形、损伤、标志脱落、处于正常状态。控制盘的指示灯是否正常。</w:t>
      </w:r>
    </w:p>
    <w:p w14:paraId="3403F89A">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④每月检查电控柜内继电器是否脱落、松动，接点是否烧损，转换开关应处于自动状态。各导线连接处是否松脱，绝缘是否损伤。</w:t>
      </w:r>
    </w:p>
    <w:p w14:paraId="17650C1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⑤类比主泵故障，查看自动切换启动备用泵情况，同时查看仪表及指示灯显示。</w:t>
      </w:r>
    </w:p>
    <w:p w14:paraId="1A8D36D5">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（14）检查并试验消防电梯的迫降功能是否正常；检查并试验消防电源的</w:t>
      </w:r>
    </w:p>
    <w:p w14:paraId="367D3B8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末端切换功能是否正常；检查并试验切断非消防电源功能是否正常。</w:t>
      </w:r>
    </w:p>
    <w:p w14:paraId="7D60B18E">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（15）检查其他与消防设备相连接设施的查看并对主要组件进行测试和对线路的查看。</w:t>
      </w:r>
    </w:p>
    <w:p w14:paraId="018891CC">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（16）消防可视化系统的检查、维护和统计报表等。</w:t>
      </w:r>
    </w:p>
    <w:p w14:paraId="6F4DE04D">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（17）停车场区域的建筑物消防箱配备的灭火器的充装和维保费用包含在投标报价中，保障设施设备正常运行。</w:t>
      </w:r>
    </w:p>
    <w:p w14:paraId="19A2D5B9">
      <w:pPr>
        <w:ind w:firstLine="480" w:firstLineChars="200"/>
        <w:outlineLvl w:val="3"/>
        <w:rPr>
          <w:rFonts w:ascii="方正仿宋_GBK" w:hAnsi="方正仿宋_GBK" w:eastAsia="方正仿宋_GBK" w:cs="方正仿宋_GBK"/>
          <w:sz w:val="24"/>
        </w:rPr>
      </w:pPr>
      <w:r>
        <w:rPr>
          <w:rFonts w:hint="eastAsia" w:ascii="方正仿宋_GBK" w:hAnsi="方正仿宋_GBK" w:eastAsia="方正仿宋_GBK" w:cs="方正仿宋_GBK"/>
          <w:sz w:val="24"/>
        </w:rPr>
        <w:t>（18）开闭所、配电房内消防设备维保。</w:t>
      </w:r>
    </w:p>
    <w:p w14:paraId="16EDE0DE">
      <w:pPr>
        <w:ind w:firstLine="480" w:firstLineChars="200"/>
        <w:outlineLvl w:val="1"/>
        <w:rPr>
          <w:rFonts w:ascii="方正仿宋_GBK" w:hAnsi="方正仿宋_GBK" w:eastAsia="方正仿宋_GBK" w:cs="方正仿宋_GBK"/>
          <w:sz w:val="24"/>
        </w:rPr>
      </w:pPr>
      <w:r>
        <w:rPr>
          <w:rFonts w:hint="eastAsia" w:ascii="方正仿宋_GBK" w:hAnsi="方正仿宋_GBK" w:eastAsia="方正仿宋_GBK" w:cs="方正仿宋_GBK"/>
          <w:sz w:val="24"/>
        </w:rPr>
        <w:t>（五）应急处置和故障突击抢修</w:t>
      </w:r>
    </w:p>
    <w:p w14:paraId="3ED86324">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当乙方接到故障抢修通知后，应立即（50分钟内）到达现场对该故障进行抢修。一般故障应该立即排除，严重故障乙方应增加技术力量在12小时内修复，外送修理项目7日内完成修复，期间采取应急安全措施，同时报合肥城泊安全督察部备案。</w:t>
      </w:r>
    </w:p>
    <w:p w14:paraId="0E60224A">
      <w:pP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附件2：消防维保考核办法</w:t>
      </w:r>
    </w:p>
    <w:p w14:paraId="19102BEE">
      <w:pPr>
        <w:jc w:val="center"/>
        <w:outlineLvl w:val="0"/>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消防维保考核办法</w:t>
      </w:r>
    </w:p>
    <w:p w14:paraId="1C720209">
      <w:pPr>
        <w:widowControl/>
        <w:adjustRightInd w:val="0"/>
        <w:snapToGrid w:val="0"/>
        <w:spacing w:line="520" w:lineRule="exact"/>
        <w:ind w:firstLine="480" w:firstLineChars="200"/>
        <w:outlineLvl w:val="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一、考核目的</w:t>
      </w:r>
    </w:p>
    <w:p w14:paraId="5CC4CC10">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保障消防系统的正常运行，提高设备的稳定性。</w:t>
      </w:r>
    </w:p>
    <w:p w14:paraId="04D575E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提高维保单位工作积极主动性，全面提升管理水平和工作效率。</w:t>
      </w:r>
    </w:p>
    <w:p w14:paraId="0C17FA1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建立消防系统维保考核体系，为维保单位考核和延续提供依据。</w:t>
      </w:r>
    </w:p>
    <w:p w14:paraId="0EE193BB">
      <w:pPr>
        <w:widowControl/>
        <w:adjustRightInd w:val="0"/>
        <w:snapToGrid w:val="0"/>
        <w:spacing w:line="520" w:lineRule="exact"/>
        <w:ind w:firstLine="480" w:firstLineChars="200"/>
        <w:outlineLvl w:val="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二、考核内容</w:t>
      </w:r>
    </w:p>
    <w:p w14:paraId="7EED24D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日常故障处理情况由消防监控员登记，记录形成《消防系统维保记录表》。</w:t>
      </w:r>
    </w:p>
    <w:p w14:paraId="6AAAC62F">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每季度进行消防维保季度抽查。抽查情况记录在《消防系统维保季度抽查情况表》。</w:t>
      </w:r>
    </w:p>
    <w:p w14:paraId="3481EBF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年度考核基于该年度四个季度的考核评分。</w:t>
      </w:r>
    </w:p>
    <w:p w14:paraId="7745417B">
      <w:pPr>
        <w:widowControl/>
        <w:adjustRightInd w:val="0"/>
        <w:snapToGrid w:val="0"/>
        <w:spacing w:line="520" w:lineRule="exact"/>
        <w:ind w:firstLine="480" w:firstLineChars="200"/>
        <w:outlineLvl w:val="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三、考核组织</w:t>
      </w:r>
    </w:p>
    <w:p w14:paraId="36EE1015">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1、季度抽查组成员由甲方统一安排，进行不定期组织检查，抽查组成员不少于三人。</w:t>
      </w:r>
    </w:p>
    <w:p w14:paraId="65EBCDF8">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考核采取百分制，满分为100分。根据《消防系统维保记录表》、《消防系统维保季度抽查情况表》，对不满足要求的进行逐项扣分，维保计划执行情况、设备维修更换情况由甲方检查反馈，未按要求执行的，逐项扣分。最终考核情况记录在《消防系统维保情况季度考核表》。</w:t>
      </w:r>
    </w:p>
    <w:p w14:paraId="224982DB">
      <w:pPr>
        <w:widowControl/>
        <w:adjustRightInd w:val="0"/>
        <w:snapToGrid w:val="0"/>
        <w:spacing w:line="520" w:lineRule="exact"/>
        <w:ind w:firstLine="480" w:firstLineChars="200"/>
        <w:outlineLvl w:val="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四、考核细则</w:t>
      </w:r>
    </w:p>
    <w:p w14:paraId="792DC447">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日常维保考核主要针对维保单位响应情况和技术水平，主要考核响应时间和故障修复时间来。未按照要求到达现场，一般故障每次扣1分，严重故障每次扣2分，未按照要求恢复设备正常运行的，一般故障每次扣1分，严重故障每次扣2分。具体考核项目和标准见《消防系统维保记录表》。</w:t>
      </w:r>
    </w:p>
    <w:p w14:paraId="6BCFC4E3">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季度抽查项目依据维保计划，每次抽查内容涵盖火灾自动报警系统、消防供水系统、消火栓系统、喷淋灭火系统、防排烟通风系统、防火门、防火卷帘、气体灭火系统等消防设施设备，设备维保标准参照消防维保方案制定的维保计划表和《消防系统维保季度抽查情况表》。发现不符合要求的，每项扣1分。</w:t>
      </w:r>
    </w:p>
    <w:p w14:paraId="1CC1244A">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维保单位需按照维保方案制定每个月的维保计划并严格执行，同时填写当月维保实施情况。因特殊原因无法进行维保的，需提前与技术保障部确认。未按照计划实施维保的，每项扣1分，维保质量不符合要求的，每项扣1分。</w:t>
      </w:r>
    </w:p>
    <w:p w14:paraId="3899ED0C">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4、每月十号（节假日顺延）前将上月月维保记录和上月维保情况成书面报告（含系统运行情况、维保建议等）交甲方留存。未按照要求或未按照时间节点提供消防系统维保记录、月维保报告的，每次扣2分。</w:t>
      </w:r>
    </w:p>
    <w:p w14:paraId="0427A7C0">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5、维保单位的现场人员应遵守安全管理的相关规定。未按照要求执行，每次扣2分。</w:t>
      </w:r>
    </w:p>
    <w:p w14:paraId="005B21AF">
      <w:pPr>
        <w:widowControl/>
        <w:adjustRightInd w:val="0"/>
        <w:snapToGrid w:val="0"/>
        <w:spacing w:line="520" w:lineRule="exact"/>
        <w:ind w:firstLine="480" w:firstLineChars="200"/>
        <w:outlineLvl w:val="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五、考核评分</w:t>
      </w:r>
    </w:p>
    <w:p w14:paraId="4327DB24">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季度考核得分将应用于年度考核，具体计算公式为：</w:t>
      </w:r>
    </w:p>
    <w:p w14:paraId="6B0EC021">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X=（X1*80%+X2*90%+X3*110%+X4*120%）/4</w:t>
      </w:r>
    </w:p>
    <w:p w14:paraId="2FEDA83A">
      <w:pPr>
        <w:widowControl/>
        <w:adjustRightInd w:val="0"/>
        <w:snapToGrid w:val="0"/>
        <w:spacing w:line="52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X1：第一季度考核得分，X2第二季度考核的分，X3第三季度考核的分，X4第四季度考核的分，若考核X＜80，则无条件终止维保合同。</w:t>
      </w:r>
    </w:p>
    <w:p w14:paraId="4B5B84D3">
      <w:pPr>
        <w:jc w:val="left"/>
        <w:rPr>
          <w:rFonts w:ascii="方正仿宋_GBK" w:hAnsi="方正仿宋_GBK" w:eastAsia="方正仿宋_GBK" w:cs="方正仿宋_GBK"/>
          <w:color w:val="000000"/>
          <w:kern w:val="0"/>
          <w:sz w:val="32"/>
          <w:szCs w:val="32"/>
        </w:rPr>
      </w:pPr>
    </w:p>
    <w:p w14:paraId="11035EA2">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14:paraId="14E202E5">
      <w:pPr>
        <w:rPr>
          <w:rFonts w:ascii="仿宋_GB2312" w:hAnsi="仿宋_GB2312" w:eastAsia="仿宋_GB2312" w:cs="仿宋_GB2312"/>
          <w:color w:val="000000"/>
          <w:kern w:val="0"/>
          <w:sz w:val="32"/>
          <w:szCs w:val="32"/>
        </w:rPr>
        <w:sectPr>
          <w:footerReference r:id="rId4" w:type="default"/>
          <w:pgSz w:w="11906" w:h="16838"/>
          <w:pgMar w:top="1440" w:right="1800" w:bottom="1440" w:left="1800" w:header="851" w:footer="992" w:gutter="0"/>
          <w:cols w:space="720" w:num="1"/>
          <w:docGrid w:type="lines" w:linePitch="312"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067"/>
        <w:gridCol w:w="4886"/>
        <w:gridCol w:w="4948"/>
        <w:gridCol w:w="1583"/>
        <w:gridCol w:w="933"/>
      </w:tblGrid>
      <w:tr w14:paraId="49B4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0" w:type="auto"/>
            <w:gridSpan w:val="6"/>
          </w:tcPr>
          <w:p w14:paraId="6FBD3C07">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40"/>
                <w:szCs w:val="40"/>
              </w:rPr>
              <w:t>消防系统维保考核表（满分100分）</w:t>
            </w:r>
          </w:p>
        </w:tc>
      </w:tr>
      <w:tr w14:paraId="79AE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4AF060">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序号</w:t>
            </w:r>
          </w:p>
        </w:tc>
        <w:tc>
          <w:tcPr>
            <w:tcW w:w="5953" w:type="dxa"/>
            <w:gridSpan w:val="2"/>
          </w:tcPr>
          <w:p w14:paraId="0AF473D6">
            <w:pPr>
              <w:jc w:val="center"/>
              <w:rPr>
                <w:rFonts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考核项目</w:t>
            </w:r>
          </w:p>
        </w:tc>
        <w:tc>
          <w:tcPr>
            <w:tcW w:w="4948" w:type="dxa"/>
          </w:tcPr>
          <w:p w14:paraId="5F0C8DDD">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考核标准</w:t>
            </w:r>
          </w:p>
        </w:tc>
        <w:tc>
          <w:tcPr>
            <w:tcW w:w="1583" w:type="dxa"/>
          </w:tcPr>
          <w:p w14:paraId="7FAB4F2B">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扣分情况</w:t>
            </w:r>
          </w:p>
        </w:tc>
        <w:tc>
          <w:tcPr>
            <w:tcW w:w="933" w:type="dxa"/>
          </w:tcPr>
          <w:p w14:paraId="6A09166F">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备注</w:t>
            </w:r>
          </w:p>
        </w:tc>
      </w:tr>
      <w:tr w14:paraId="70AB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0" w:type="auto"/>
          </w:tcPr>
          <w:p w14:paraId="3AD2B268">
            <w:pPr>
              <w:jc w:val="center"/>
              <w:rPr>
                <w:rFonts w:ascii="仿宋_GB2312" w:hAnsi="仿宋_GB2312" w:eastAsia="仿宋_GB2312" w:cs="仿宋_GB2312"/>
                <w:color w:val="000000"/>
                <w:kern w:val="0"/>
                <w:sz w:val="30"/>
                <w:szCs w:val="30"/>
              </w:rPr>
            </w:pPr>
          </w:p>
          <w:p w14:paraId="40130ED5">
            <w:pPr>
              <w:jc w:val="center"/>
              <w:rPr>
                <w:rFonts w:ascii="仿宋_GB2312" w:hAnsi="仿宋_GB2312" w:eastAsia="仿宋_GB2312" w:cs="仿宋_GB2312"/>
                <w:color w:val="000000"/>
                <w:kern w:val="0"/>
                <w:sz w:val="30"/>
                <w:szCs w:val="30"/>
              </w:rPr>
            </w:pPr>
          </w:p>
          <w:p w14:paraId="362CCD0F">
            <w:pPr>
              <w:jc w:val="center"/>
              <w:rPr>
                <w:rFonts w:ascii="仿宋_GB2312" w:hAnsi="仿宋_GB2312" w:eastAsia="仿宋_GB2312" w:cs="仿宋_GB2312"/>
                <w:color w:val="000000"/>
                <w:kern w:val="0"/>
                <w:sz w:val="30"/>
                <w:szCs w:val="30"/>
              </w:rPr>
            </w:pPr>
          </w:p>
          <w:p w14:paraId="6FC37D75">
            <w:pPr>
              <w:ind w:firstLine="300" w:firstLineChars="1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p>
        </w:tc>
        <w:tc>
          <w:tcPr>
            <w:tcW w:w="1067" w:type="dxa"/>
          </w:tcPr>
          <w:p w14:paraId="39B0D682">
            <w:pPr>
              <w:jc w:val="center"/>
              <w:rPr>
                <w:rFonts w:ascii="仿宋_GB2312" w:hAnsi="仿宋_GB2312" w:eastAsia="仿宋_GB2312" w:cs="仿宋_GB2312"/>
                <w:color w:val="000000"/>
                <w:kern w:val="0"/>
                <w:sz w:val="30"/>
                <w:szCs w:val="30"/>
              </w:rPr>
            </w:pPr>
          </w:p>
          <w:p w14:paraId="50220D5F">
            <w:pPr>
              <w:jc w:val="center"/>
              <w:rPr>
                <w:rFonts w:ascii="仿宋_GB2312" w:hAnsi="仿宋_GB2312" w:eastAsia="仿宋_GB2312" w:cs="仿宋_GB2312"/>
                <w:color w:val="000000"/>
                <w:kern w:val="0"/>
                <w:sz w:val="30"/>
                <w:szCs w:val="30"/>
              </w:rPr>
            </w:pPr>
          </w:p>
          <w:p w14:paraId="4567CEAD">
            <w:pPr>
              <w:jc w:val="center"/>
              <w:rPr>
                <w:rFonts w:ascii="仿宋_GB2312" w:hAnsi="仿宋_GB2312" w:eastAsia="仿宋_GB2312" w:cs="仿宋_GB2312"/>
                <w:color w:val="000000"/>
                <w:kern w:val="0"/>
                <w:sz w:val="30"/>
                <w:szCs w:val="30"/>
              </w:rPr>
            </w:pPr>
          </w:p>
          <w:p w14:paraId="3A70A288">
            <w:pP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维保响应</w:t>
            </w:r>
          </w:p>
        </w:tc>
        <w:tc>
          <w:tcPr>
            <w:tcW w:w="4886" w:type="dxa"/>
          </w:tcPr>
          <w:p w14:paraId="0E181386">
            <w:pPr>
              <w:numPr>
                <w:ilvl w:val="0"/>
                <w:numId w:val="3"/>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维保响应时间要求：</w:t>
            </w:r>
          </w:p>
          <w:p w14:paraId="4CB1C688">
            <w:pPr>
              <w:numPr>
                <w:ilvl w:val="0"/>
                <w:numId w:val="3"/>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一般故障：维保单位接到通知后应安排维保人员于2小时内赶到现场维修。</w:t>
            </w:r>
          </w:p>
          <w:p w14:paraId="5B1A3ADA">
            <w:pPr>
              <w:numPr>
                <w:ilvl w:val="0"/>
                <w:numId w:val="3"/>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严重故障：维保单位接到通知后应安排维保人员于</w:t>
            </w:r>
            <w:r>
              <w:rPr>
                <w:rFonts w:ascii="仿宋_GB2312" w:hAnsi="仿宋_GB2312" w:eastAsia="仿宋_GB2312" w:cs="仿宋_GB2312"/>
                <w:color w:val="000000"/>
                <w:kern w:val="0"/>
                <w:sz w:val="30"/>
                <w:szCs w:val="30"/>
              </w:rPr>
              <w:t>50</w:t>
            </w:r>
            <w:r>
              <w:rPr>
                <w:rFonts w:hint="eastAsia" w:ascii="仿宋_GB2312" w:hAnsi="仿宋_GB2312" w:eastAsia="仿宋_GB2312" w:cs="仿宋_GB2312"/>
                <w:color w:val="000000"/>
                <w:kern w:val="0"/>
                <w:sz w:val="30"/>
                <w:szCs w:val="30"/>
              </w:rPr>
              <w:t>分钟内赶到现场维修。</w:t>
            </w:r>
          </w:p>
        </w:tc>
        <w:tc>
          <w:tcPr>
            <w:tcW w:w="4948" w:type="dxa"/>
          </w:tcPr>
          <w:p w14:paraId="1850A92B">
            <w:pPr>
              <w:jc w:val="left"/>
              <w:rPr>
                <w:rFonts w:ascii="仿宋_GB2312" w:hAnsi="仿宋_GB2312" w:eastAsia="仿宋_GB2312" w:cs="仿宋_GB2312"/>
                <w:color w:val="000000"/>
                <w:kern w:val="0"/>
                <w:sz w:val="30"/>
                <w:szCs w:val="30"/>
              </w:rPr>
            </w:pPr>
          </w:p>
          <w:p w14:paraId="6976A6A4">
            <w:pPr>
              <w:jc w:val="left"/>
              <w:rPr>
                <w:rFonts w:ascii="仿宋_GB2312" w:hAnsi="仿宋_GB2312" w:eastAsia="仿宋_GB2312" w:cs="仿宋_GB2312"/>
                <w:color w:val="000000"/>
                <w:kern w:val="0"/>
                <w:sz w:val="30"/>
                <w:szCs w:val="30"/>
              </w:rPr>
            </w:pPr>
          </w:p>
          <w:p w14:paraId="07E3E17C">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查看《消防系统维保记录表》，未按照要求到达现场的，一般故障每次扣1分，严重故障每次扣2分。特殊情况需提前说明。</w:t>
            </w:r>
          </w:p>
        </w:tc>
        <w:tc>
          <w:tcPr>
            <w:tcW w:w="1583" w:type="dxa"/>
          </w:tcPr>
          <w:p w14:paraId="4C4E07D8">
            <w:pPr>
              <w:jc w:val="center"/>
              <w:rPr>
                <w:rFonts w:ascii="仿宋_GB2312" w:hAnsi="仿宋_GB2312" w:eastAsia="仿宋_GB2312" w:cs="仿宋_GB2312"/>
                <w:color w:val="000000"/>
                <w:kern w:val="0"/>
                <w:sz w:val="30"/>
                <w:szCs w:val="30"/>
              </w:rPr>
            </w:pPr>
          </w:p>
        </w:tc>
        <w:tc>
          <w:tcPr>
            <w:tcW w:w="933" w:type="dxa"/>
          </w:tcPr>
          <w:p w14:paraId="688FD357">
            <w:pPr>
              <w:jc w:val="center"/>
              <w:rPr>
                <w:rFonts w:ascii="仿宋_GB2312" w:hAnsi="仿宋_GB2312" w:eastAsia="仿宋_GB2312" w:cs="仿宋_GB2312"/>
                <w:color w:val="000000"/>
                <w:kern w:val="0"/>
                <w:sz w:val="30"/>
                <w:szCs w:val="30"/>
              </w:rPr>
            </w:pPr>
          </w:p>
        </w:tc>
      </w:tr>
      <w:tr w14:paraId="02D9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3B3BD82">
            <w:pPr>
              <w:jc w:val="center"/>
              <w:rPr>
                <w:rFonts w:ascii="仿宋_GB2312" w:hAnsi="仿宋_GB2312" w:eastAsia="仿宋_GB2312" w:cs="仿宋_GB2312"/>
                <w:color w:val="000000"/>
                <w:kern w:val="0"/>
                <w:sz w:val="30"/>
                <w:szCs w:val="30"/>
              </w:rPr>
            </w:pPr>
          </w:p>
          <w:p w14:paraId="2179CF9D">
            <w:pPr>
              <w:jc w:val="center"/>
              <w:rPr>
                <w:rFonts w:ascii="仿宋_GB2312" w:hAnsi="仿宋_GB2312" w:eastAsia="仿宋_GB2312" w:cs="仿宋_GB2312"/>
                <w:color w:val="000000"/>
                <w:kern w:val="0"/>
                <w:sz w:val="30"/>
                <w:szCs w:val="30"/>
              </w:rPr>
            </w:pPr>
          </w:p>
          <w:p w14:paraId="591E7407">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p>
        </w:tc>
        <w:tc>
          <w:tcPr>
            <w:tcW w:w="1067" w:type="dxa"/>
          </w:tcPr>
          <w:p w14:paraId="00562104">
            <w:pPr>
              <w:jc w:val="center"/>
              <w:rPr>
                <w:rFonts w:ascii="仿宋_GB2312" w:hAnsi="仿宋_GB2312" w:eastAsia="仿宋_GB2312" w:cs="仿宋_GB2312"/>
                <w:color w:val="000000"/>
                <w:kern w:val="0"/>
                <w:sz w:val="30"/>
                <w:szCs w:val="30"/>
              </w:rPr>
            </w:pPr>
          </w:p>
          <w:p w14:paraId="033D3C39">
            <w:pPr>
              <w:jc w:val="center"/>
              <w:rPr>
                <w:rFonts w:ascii="仿宋_GB2312" w:hAnsi="仿宋_GB2312" w:eastAsia="仿宋_GB2312" w:cs="仿宋_GB2312"/>
                <w:color w:val="000000"/>
                <w:kern w:val="0"/>
                <w:sz w:val="30"/>
                <w:szCs w:val="30"/>
              </w:rPr>
            </w:pPr>
          </w:p>
          <w:p w14:paraId="5F3BF8CD">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计划执行</w:t>
            </w:r>
          </w:p>
        </w:tc>
        <w:tc>
          <w:tcPr>
            <w:tcW w:w="4886" w:type="dxa"/>
          </w:tcPr>
          <w:p w14:paraId="1AC4AB20">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维保单位需按照维保方案制定每个月的维保计划并严格执行，认真填写当月维保实施情况。因特殊原因无法进行维保的，需提前与技术保障部确认。</w:t>
            </w:r>
          </w:p>
        </w:tc>
        <w:tc>
          <w:tcPr>
            <w:tcW w:w="4948" w:type="dxa"/>
          </w:tcPr>
          <w:p w14:paraId="05E5BC4D">
            <w:pPr>
              <w:jc w:val="center"/>
              <w:rPr>
                <w:rFonts w:ascii="仿宋_GB2312" w:hAnsi="仿宋_GB2312" w:eastAsia="仿宋_GB2312" w:cs="仿宋_GB2312"/>
                <w:color w:val="000000"/>
                <w:kern w:val="0"/>
                <w:sz w:val="30"/>
                <w:szCs w:val="30"/>
              </w:rPr>
            </w:pPr>
          </w:p>
          <w:p w14:paraId="597588FF">
            <w:pP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结合季度月计划执行情况，未按照计划实施维保的，每项扣1分，维保质量不符合要求的，每项扣1分</w:t>
            </w:r>
          </w:p>
        </w:tc>
        <w:tc>
          <w:tcPr>
            <w:tcW w:w="1583" w:type="dxa"/>
          </w:tcPr>
          <w:p w14:paraId="0D15933B">
            <w:pPr>
              <w:jc w:val="center"/>
              <w:rPr>
                <w:rFonts w:ascii="仿宋_GB2312" w:hAnsi="仿宋_GB2312" w:eastAsia="仿宋_GB2312" w:cs="仿宋_GB2312"/>
                <w:color w:val="000000"/>
                <w:kern w:val="0"/>
                <w:sz w:val="30"/>
                <w:szCs w:val="30"/>
              </w:rPr>
            </w:pPr>
          </w:p>
        </w:tc>
        <w:tc>
          <w:tcPr>
            <w:tcW w:w="933" w:type="dxa"/>
          </w:tcPr>
          <w:p w14:paraId="0FBDE3D3">
            <w:pPr>
              <w:jc w:val="center"/>
              <w:rPr>
                <w:rFonts w:ascii="仿宋_GB2312" w:hAnsi="仿宋_GB2312" w:eastAsia="仿宋_GB2312" w:cs="仿宋_GB2312"/>
                <w:color w:val="000000"/>
                <w:kern w:val="0"/>
                <w:sz w:val="30"/>
                <w:szCs w:val="30"/>
              </w:rPr>
            </w:pPr>
          </w:p>
        </w:tc>
      </w:tr>
      <w:tr w14:paraId="53CD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B1BE5E">
            <w:pPr>
              <w:jc w:val="center"/>
              <w:rPr>
                <w:rFonts w:ascii="仿宋_GB2312" w:hAnsi="仿宋_GB2312" w:eastAsia="仿宋_GB2312" w:cs="仿宋_GB2312"/>
                <w:color w:val="000000"/>
                <w:kern w:val="0"/>
                <w:sz w:val="30"/>
                <w:szCs w:val="30"/>
              </w:rPr>
            </w:pPr>
          </w:p>
          <w:p w14:paraId="6CE11708">
            <w:pPr>
              <w:jc w:val="center"/>
              <w:rPr>
                <w:rFonts w:ascii="仿宋_GB2312" w:hAnsi="仿宋_GB2312" w:eastAsia="仿宋_GB2312" w:cs="仿宋_GB2312"/>
                <w:color w:val="000000"/>
                <w:kern w:val="0"/>
                <w:sz w:val="30"/>
                <w:szCs w:val="30"/>
              </w:rPr>
            </w:pPr>
          </w:p>
          <w:p w14:paraId="123D7AA1">
            <w:pPr>
              <w:jc w:val="center"/>
              <w:rPr>
                <w:rFonts w:ascii="仿宋_GB2312" w:hAnsi="仿宋_GB2312" w:eastAsia="仿宋_GB2312" w:cs="仿宋_GB2312"/>
                <w:color w:val="000000"/>
                <w:kern w:val="0"/>
                <w:sz w:val="30"/>
                <w:szCs w:val="30"/>
              </w:rPr>
            </w:pPr>
          </w:p>
          <w:p w14:paraId="5B963B8B">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1067" w:type="dxa"/>
          </w:tcPr>
          <w:p w14:paraId="2D772128">
            <w:pPr>
              <w:jc w:val="center"/>
              <w:rPr>
                <w:rFonts w:ascii="仿宋_GB2312" w:hAnsi="仿宋_GB2312" w:eastAsia="仿宋_GB2312" w:cs="仿宋_GB2312"/>
                <w:color w:val="000000"/>
                <w:kern w:val="0"/>
                <w:sz w:val="30"/>
                <w:szCs w:val="30"/>
              </w:rPr>
            </w:pPr>
          </w:p>
          <w:p w14:paraId="4E3FD751">
            <w:pPr>
              <w:jc w:val="center"/>
              <w:rPr>
                <w:rFonts w:ascii="仿宋_GB2312" w:hAnsi="仿宋_GB2312" w:eastAsia="仿宋_GB2312" w:cs="仿宋_GB2312"/>
                <w:color w:val="000000"/>
                <w:kern w:val="0"/>
                <w:sz w:val="30"/>
                <w:szCs w:val="30"/>
              </w:rPr>
            </w:pPr>
          </w:p>
          <w:p w14:paraId="02342BD3">
            <w:pPr>
              <w:jc w:val="center"/>
              <w:rPr>
                <w:rFonts w:ascii="仿宋_GB2312" w:hAnsi="仿宋_GB2312" w:eastAsia="仿宋_GB2312" w:cs="仿宋_GB2312"/>
                <w:color w:val="000000"/>
                <w:kern w:val="0"/>
                <w:sz w:val="30"/>
                <w:szCs w:val="30"/>
              </w:rPr>
            </w:pPr>
          </w:p>
          <w:p w14:paraId="2681F89F">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技术水平</w:t>
            </w:r>
          </w:p>
        </w:tc>
        <w:tc>
          <w:tcPr>
            <w:tcW w:w="4886" w:type="dxa"/>
          </w:tcPr>
          <w:p w14:paraId="632BC3BA">
            <w:pPr>
              <w:numPr>
                <w:ilvl w:val="0"/>
                <w:numId w:val="4"/>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一般故障：维保单位维保人员需在到现场2小时内解决故障并恢复设备正常运行。</w:t>
            </w:r>
          </w:p>
          <w:p w14:paraId="2100B0DB">
            <w:pPr>
              <w:numPr>
                <w:ilvl w:val="0"/>
                <w:numId w:val="4"/>
              </w:num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严重故障：维保单位维保人员需在到现场24小时内解决故障并恢复设备正常运行。</w:t>
            </w:r>
          </w:p>
          <w:p w14:paraId="328D85D2">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备注：采购备件等特殊原因除外</w:t>
            </w:r>
          </w:p>
        </w:tc>
        <w:tc>
          <w:tcPr>
            <w:tcW w:w="4948" w:type="dxa"/>
          </w:tcPr>
          <w:p w14:paraId="7A538EF8">
            <w:pPr>
              <w:jc w:val="left"/>
              <w:rPr>
                <w:rFonts w:ascii="仿宋_GB2312" w:hAnsi="仿宋_GB2312" w:eastAsia="仿宋_GB2312" w:cs="仿宋_GB2312"/>
                <w:color w:val="000000"/>
                <w:kern w:val="0"/>
                <w:sz w:val="30"/>
                <w:szCs w:val="30"/>
              </w:rPr>
            </w:pPr>
          </w:p>
          <w:p w14:paraId="72A0BD72">
            <w:pPr>
              <w:jc w:val="left"/>
              <w:rPr>
                <w:rFonts w:ascii="仿宋_GB2312" w:hAnsi="仿宋_GB2312" w:eastAsia="仿宋_GB2312" w:cs="仿宋_GB2312"/>
                <w:color w:val="000000"/>
                <w:kern w:val="0"/>
                <w:sz w:val="30"/>
                <w:szCs w:val="30"/>
              </w:rPr>
            </w:pPr>
          </w:p>
          <w:p w14:paraId="1B90BA46">
            <w:pPr>
              <w:jc w:val="left"/>
              <w:rPr>
                <w:rFonts w:ascii="仿宋_GB2312" w:hAnsi="仿宋_GB2312" w:eastAsia="仿宋_GB2312" w:cs="仿宋_GB2312"/>
                <w:color w:val="000000"/>
                <w:kern w:val="0"/>
                <w:sz w:val="30"/>
                <w:szCs w:val="30"/>
              </w:rPr>
            </w:pPr>
          </w:p>
          <w:p w14:paraId="1A46CCA6">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查看《消防系统维保记录表》，未按照要求到达现场的，一般故障每次扣1分，严重故障每次扣2分。特殊情况需提前说明。</w:t>
            </w:r>
          </w:p>
        </w:tc>
        <w:tc>
          <w:tcPr>
            <w:tcW w:w="1583" w:type="dxa"/>
          </w:tcPr>
          <w:p w14:paraId="2925BF24">
            <w:pPr>
              <w:jc w:val="center"/>
              <w:rPr>
                <w:rFonts w:ascii="仿宋_GB2312" w:hAnsi="仿宋_GB2312" w:eastAsia="仿宋_GB2312" w:cs="仿宋_GB2312"/>
                <w:color w:val="000000"/>
                <w:kern w:val="0"/>
                <w:sz w:val="30"/>
                <w:szCs w:val="30"/>
              </w:rPr>
            </w:pPr>
          </w:p>
        </w:tc>
        <w:tc>
          <w:tcPr>
            <w:tcW w:w="933" w:type="dxa"/>
          </w:tcPr>
          <w:p w14:paraId="2822A2D1">
            <w:pPr>
              <w:jc w:val="center"/>
              <w:rPr>
                <w:rFonts w:ascii="仿宋_GB2312" w:hAnsi="仿宋_GB2312" w:eastAsia="仿宋_GB2312" w:cs="仿宋_GB2312"/>
                <w:color w:val="000000"/>
                <w:kern w:val="0"/>
                <w:sz w:val="30"/>
                <w:szCs w:val="30"/>
              </w:rPr>
            </w:pPr>
          </w:p>
        </w:tc>
      </w:tr>
      <w:tr w14:paraId="4A0B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322412">
            <w:pPr>
              <w:jc w:val="center"/>
              <w:rPr>
                <w:rFonts w:ascii="仿宋_GB2312" w:hAnsi="仿宋_GB2312" w:eastAsia="仿宋_GB2312" w:cs="仿宋_GB2312"/>
                <w:color w:val="000000"/>
                <w:kern w:val="0"/>
                <w:sz w:val="30"/>
                <w:szCs w:val="30"/>
              </w:rPr>
            </w:pPr>
          </w:p>
          <w:p w14:paraId="4D9EBF9F">
            <w:pPr>
              <w:jc w:val="center"/>
              <w:rPr>
                <w:rFonts w:ascii="仿宋_GB2312" w:hAnsi="仿宋_GB2312" w:eastAsia="仿宋_GB2312" w:cs="仿宋_GB2312"/>
                <w:color w:val="000000"/>
                <w:kern w:val="0"/>
                <w:sz w:val="30"/>
                <w:szCs w:val="30"/>
              </w:rPr>
            </w:pPr>
          </w:p>
          <w:p w14:paraId="5E2A24FB">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1067" w:type="dxa"/>
          </w:tcPr>
          <w:p w14:paraId="11D99272">
            <w:pPr>
              <w:jc w:val="center"/>
              <w:rPr>
                <w:rFonts w:ascii="仿宋_GB2312" w:hAnsi="仿宋_GB2312" w:eastAsia="仿宋_GB2312" w:cs="仿宋_GB2312"/>
                <w:color w:val="000000"/>
                <w:kern w:val="0"/>
                <w:sz w:val="30"/>
                <w:szCs w:val="30"/>
              </w:rPr>
            </w:pPr>
          </w:p>
          <w:p w14:paraId="62D3CA0C">
            <w:pPr>
              <w:jc w:val="center"/>
              <w:rPr>
                <w:rFonts w:ascii="仿宋_GB2312" w:hAnsi="仿宋_GB2312" w:eastAsia="仿宋_GB2312" w:cs="仿宋_GB2312"/>
                <w:color w:val="000000"/>
                <w:kern w:val="0"/>
                <w:sz w:val="30"/>
                <w:szCs w:val="30"/>
              </w:rPr>
            </w:pPr>
          </w:p>
          <w:p w14:paraId="71FB15C2">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文档资料</w:t>
            </w:r>
          </w:p>
        </w:tc>
        <w:tc>
          <w:tcPr>
            <w:tcW w:w="4886" w:type="dxa"/>
          </w:tcPr>
          <w:p w14:paraId="487EA6CB">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每月十号（节假日顺延）前将上月月维保记录和上月维保情况成书面报告并盖章（含系统运行情况、维保建议等）交技术保障留存。</w:t>
            </w:r>
          </w:p>
        </w:tc>
        <w:tc>
          <w:tcPr>
            <w:tcW w:w="4948" w:type="dxa"/>
          </w:tcPr>
          <w:p w14:paraId="3DD18234">
            <w:pPr>
              <w:jc w:val="left"/>
              <w:rPr>
                <w:rFonts w:ascii="仿宋_GB2312" w:hAnsi="仿宋_GB2312" w:eastAsia="仿宋_GB2312" w:cs="仿宋_GB2312"/>
                <w:color w:val="000000"/>
                <w:kern w:val="0"/>
                <w:sz w:val="30"/>
                <w:szCs w:val="30"/>
              </w:rPr>
            </w:pPr>
          </w:p>
          <w:p w14:paraId="297CD12B">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未按照要求或未按照时间节点提供消防系统维保记录、月维保报告的，每次扣2分。</w:t>
            </w:r>
          </w:p>
          <w:p w14:paraId="34713504">
            <w:pPr>
              <w:jc w:val="center"/>
              <w:rPr>
                <w:rFonts w:ascii="仿宋_GB2312" w:hAnsi="仿宋_GB2312" w:eastAsia="仿宋_GB2312" w:cs="仿宋_GB2312"/>
                <w:color w:val="000000"/>
                <w:kern w:val="0"/>
                <w:sz w:val="30"/>
                <w:szCs w:val="30"/>
              </w:rPr>
            </w:pPr>
          </w:p>
        </w:tc>
        <w:tc>
          <w:tcPr>
            <w:tcW w:w="1583" w:type="dxa"/>
          </w:tcPr>
          <w:p w14:paraId="760B9E7C">
            <w:pPr>
              <w:jc w:val="center"/>
              <w:rPr>
                <w:rFonts w:ascii="仿宋_GB2312" w:hAnsi="仿宋_GB2312" w:eastAsia="仿宋_GB2312" w:cs="仿宋_GB2312"/>
                <w:color w:val="000000"/>
                <w:kern w:val="0"/>
                <w:sz w:val="30"/>
                <w:szCs w:val="30"/>
              </w:rPr>
            </w:pPr>
          </w:p>
        </w:tc>
        <w:tc>
          <w:tcPr>
            <w:tcW w:w="933" w:type="dxa"/>
          </w:tcPr>
          <w:p w14:paraId="36CBF88D">
            <w:pPr>
              <w:jc w:val="center"/>
              <w:rPr>
                <w:rFonts w:ascii="仿宋_GB2312" w:hAnsi="仿宋_GB2312" w:eastAsia="仿宋_GB2312" w:cs="仿宋_GB2312"/>
                <w:color w:val="000000"/>
                <w:kern w:val="0"/>
                <w:sz w:val="30"/>
                <w:szCs w:val="30"/>
              </w:rPr>
            </w:pPr>
          </w:p>
        </w:tc>
      </w:tr>
      <w:tr w14:paraId="7791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27570DEF">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w:t>
            </w:r>
          </w:p>
        </w:tc>
        <w:tc>
          <w:tcPr>
            <w:tcW w:w="1067" w:type="dxa"/>
          </w:tcPr>
          <w:p w14:paraId="51BE4671">
            <w:pPr>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安全施工</w:t>
            </w:r>
          </w:p>
        </w:tc>
        <w:tc>
          <w:tcPr>
            <w:tcW w:w="4886" w:type="dxa"/>
          </w:tcPr>
          <w:p w14:paraId="0BA134DF">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维保单位的现场人员应遵守安全管理的相关规定。</w:t>
            </w:r>
          </w:p>
        </w:tc>
        <w:tc>
          <w:tcPr>
            <w:tcW w:w="4948" w:type="dxa"/>
          </w:tcPr>
          <w:p w14:paraId="4275FDFE">
            <w:pP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未按照要求执行，每次扣2分。</w:t>
            </w:r>
          </w:p>
        </w:tc>
        <w:tc>
          <w:tcPr>
            <w:tcW w:w="1583" w:type="dxa"/>
          </w:tcPr>
          <w:p w14:paraId="439DCED7">
            <w:pPr>
              <w:jc w:val="center"/>
              <w:rPr>
                <w:rFonts w:ascii="仿宋_GB2312" w:hAnsi="仿宋_GB2312" w:eastAsia="仿宋_GB2312" w:cs="仿宋_GB2312"/>
                <w:color w:val="000000"/>
                <w:kern w:val="0"/>
                <w:sz w:val="30"/>
                <w:szCs w:val="30"/>
              </w:rPr>
            </w:pPr>
          </w:p>
        </w:tc>
        <w:tc>
          <w:tcPr>
            <w:tcW w:w="933" w:type="dxa"/>
          </w:tcPr>
          <w:p w14:paraId="1814F895">
            <w:pPr>
              <w:jc w:val="center"/>
              <w:rPr>
                <w:rFonts w:ascii="仿宋_GB2312" w:hAnsi="仿宋_GB2312" w:eastAsia="仿宋_GB2312" w:cs="仿宋_GB2312"/>
                <w:color w:val="000000"/>
                <w:kern w:val="0"/>
                <w:sz w:val="30"/>
                <w:szCs w:val="30"/>
              </w:rPr>
            </w:pPr>
          </w:p>
        </w:tc>
      </w:tr>
      <w:tr w14:paraId="2073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1" w:hRule="atLeast"/>
        </w:trPr>
        <w:tc>
          <w:tcPr>
            <w:tcW w:w="0" w:type="auto"/>
            <w:gridSpan w:val="6"/>
          </w:tcPr>
          <w:p w14:paraId="161A279D">
            <w:pPr>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最终得分：</w:t>
            </w:r>
          </w:p>
          <w:p w14:paraId="046E606B">
            <w:pPr>
              <w:ind w:firstLine="8700" w:firstLineChars="2900"/>
              <w:jc w:val="left"/>
              <w:rPr>
                <w:rFonts w:ascii="仿宋_GB2312" w:hAnsi="仿宋_GB2312" w:eastAsia="仿宋_GB2312" w:cs="仿宋_GB2312"/>
                <w:color w:val="000000"/>
                <w:kern w:val="0"/>
                <w:sz w:val="30"/>
                <w:szCs w:val="30"/>
              </w:rPr>
            </w:pPr>
          </w:p>
          <w:p w14:paraId="1975AD0F">
            <w:pPr>
              <w:ind w:firstLine="8700" w:firstLineChars="2900"/>
              <w:jc w:val="left"/>
              <w:rPr>
                <w:rFonts w:ascii="仿宋_GB2312" w:hAnsi="仿宋_GB2312" w:eastAsia="仿宋_GB2312" w:cs="仿宋_GB2312"/>
                <w:color w:val="000000"/>
                <w:kern w:val="0"/>
                <w:sz w:val="30"/>
                <w:szCs w:val="30"/>
              </w:rPr>
            </w:pPr>
          </w:p>
          <w:p w14:paraId="527CD72A">
            <w:pPr>
              <w:ind w:firstLine="8700" w:firstLineChars="29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考核组人员：</w:t>
            </w:r>
          </w:p>
          <w:p w14:paraId="1A574160">
            <w:pPr>
              <w:ind w:firstLine="8700" w:firstLineChars="29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年   年  月   日  </w:t>
            </w:r>
          </w:p>
        </w:tc>
      </w:tr>
    </w:tbl>
    <w:p w14:paraId="10FC5DA6">
      <w:pPr>
        <w:rPr>
          <w:rFonts w:ascii="仿宋_GB2312" w:hAnsi="仿宋_GB2312" w:eastAsia="仿宋_GB2312" w:cs="仿宋_GB2312"/>
        </w:rPr>
      </w:pPr>
    </w:p>
    <w:p w14:paraId="3CA15789"/>
    <w:p w14:paraId="14A7FF62"/>
    <w:p w14:paraId="0BFD1990"/>
    <w:p w14:paraId="07CA5D51"/>
    <w:p w14:paraId="796AA225"/>
    <w:p w14:paraId="30664BF4">
      <w:pPr>
        <w:sectPr>
          <w:footerReference r:id="rId5" w:type="default"/>
          <w:pgSz w:w="16838" w:h="11906" w:orient="landscape"/>
          <w:pgMar w:top="1800" w:right="1440" w:bottom="1800" w:left="1440" w:header="851" w:footer="992" w:gutter="0"/>
          <w:cols w:space="425" w:num="1"/>
          <w:docGrid w:type="lines" w:linePitch="312" w:charSpace="0"/>
        </w:sectPr>
      </w:pPr>
    </w:p>
    <w:p w14:paraId="496C0B9D">
      <w:pP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附件</w:t>
      </w:r>
      <w:r>
        <w:rPr>
          <w:rFonts w:ascii="方正仿宋_GBK" w:hAnsi="方正仿宋_GBK" w:eastAsia="方正仿宋_GBK" w:cs="方正仿宋_GBK"/>
          <w:b/>
          <w:bCs/>
          <w:color w:val="000000"/>
          <w:kern w:val="0"/>
          <w:sz w:val="24"/>
        </w:rPr>
        <w:t>3</w:t>
      </w:r>
      <w:r>
        <w:rPr>
          <w:rFonts w:hint="eastAsia" w:ascii="方正仿宋_GBK" w:hAnsi="方正仿宋_GBK" w:eastAsia="方正仿宋_GBK" w:cs="方正仿宋_GBK"/>
          <w:b/>
          <w:bCs/>
          <w:color w:val="000000"/>
          <w:kern w:val="0"/>
          <w:sz w:val="24"/>
        </w:rPr>
        <w:t>：安全生产协议书</w:t>
      </w:r>
    </w:p>
    <w:p w14:paraId="0440EA60">
      <w:pPr>
        <w:spacing w:line="592" w:lineRule="exact"/>
        <w:ind w:left="1548" w:hanging="1548" w:hangingChars="430"/>
        <w:jc w:val="center"/>
        <w:rPr>
          <w:rFonts w:ascii="方正小标宋简体" w:hAnsi="方正小标宋简体" w:eastAsia="方正小标宋简体" w:cs="方正小标宋简体"/>
          <w:sz w:val="36"/>
          <w:szCs w:val="36"/>
        </w:rPr>
      </w:pPr>
    </w:p>
    <w:p w14:paraId="1F330CF8">
      <w:pPr>
        <w:spacing w:line="592" w:lineRule="exact"/>
        <w:ind w:left="1548" w:hanging="1548" w:hangingChars="430"/>
        <w:jc w:val="center"/>
        <w:rPr>
          <w:sz w:val="36"/>
          <w:szCs w:val="36"/>
        </w:rPr>
      </w:pPr>
      <w:r>
        <w:rPr>
          <w:rFonts w:hint="eastAsia" w:ascii="方正小标宋简体" w:hAnsi="方正小标宋简体" w:eastAsia="方正小标宋简体" w:cs="方正小标宋简体"/>
          <w:sz w:val="36"/>
          <w:szCs w:val="36"/>
        </w:rPr>
        <w:t>安全生产协议书</w:t>
      </w:r>
    </w:p>
    <w:p w14:paraId="0485393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 xml:space="preserve">合肥城市泊车投资管理有限公司  </w:t>
      </w:r>
    </w:p>
    <w:p w14:paraId="05F0085D">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合肥市瑶海区明光路46号东方大厦 </w:t>
      </w:r>
    </w:p>
    <w:p w14:paraId="647D790D">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3C99DA70">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755DD80C">
      <w:pPr>
        <w:pStyle w:val="9"/>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一、目的</w:t>
      </w:r>
    </w:p>
    <w:p w14:paraId="2C362AA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为维护甲乙双方合法权益，保证维保（维修）质量和安全生产，形成良好的工作秩序和工作场所卫生环境，经甲乙双方平等协商，签定安全生产协议书。</w:t>
      </w:r>
    </w:p>
    <w:p w14:paraId="350E86CF">
      <w:pPr>
        <w:pStyle w:val="9"/>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二、安全目标</w:t>
      </w:r>
    </w:p>
    <w:p w14:paraId="095673A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1、不发生轻伤及以上人身伤害事故；</w:t>
      </w:r>
    </w:p>
    <w:p w14:paraId="549F162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2、不发生火灾、爆炸事故；</w:t>
      </w:r>
    </w:p>
    <w:p w14:paraId="762172C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3、不发生环境污染事故；</w:t>
      </w:r>
    </w:p>
    <w:p w14:paraId="7C3D980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4、杜绝违章指挥、违章作业、违反劳动纪律。</w:t>
      </w:r>
    </w:p>
    <w:p w14:paraId="61FF47D8">
      <w:pPr>
        <w:pStyle w:val="9"/>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三、安全职责</w:t>
      </w:r>
    </w:p>
    <w:p w14:paraId="197425ED">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1、根据安全生产相关法律法规要求，甲方应当进行安全资质审查，对乙方的营业执照、维保资质和安全施工资格证书等进行审查。</w:t>
      </w:r>
    </w:p>
    <w:p w14:paraId="17DFC3A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应自觉遵守并执行《安全生产法》及相关规范；自觉遵守当地政府和行业主管部门颁布实施的相关法律、法规及各项规定，并积极参加安全生产各项活动，切实保障维保人员的安全与健康；遵守甲方安全管理制度。</w:t>
      </w:r>
    </w:p>
    <w:p w14:paraId="7E60926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3、进场维保（维修）前，乙方应对其所有工作人员进行三级安全教育，经培训合格后方可上岗；乙方必须执行安全技术交底制度、安全例会制度与班前安全讲话制度，并做好跟踪检查管理工作。</w:t>
      </w:r>
    </w:p>
    <w:p w14:paraId="59DCC1D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4、乙方维保小组负责人或班组长是维保队伍的第一安全责任人，对维保过程中的安全负全责。同时乙方必须明确安全生产责任制，制定合理的安全措施。</w:t>
      </w:r>
    </w:p>
    <w:p w14:paraId="050477D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应在指定工作范围和双方约定的时间内进行工作。乙方应服从甲方管理，不得违章作业和违反本协议的有关规定，如乙方有违章行为或违反甲方的管理规定，甲方有权要求乙方停工，造成不良影响的乙方应负全部职责。</w:t>
      </w:r>
    </w:p>
    <w:p w14:paraId="177587A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6、乙方应在维保（维修)区域设置明显标志，对于时间较长的集中性施工项目应设围挡做封闭处理，夜间配备合理照明设施，引导车辆行人；维保人员应在维修区域内活动，不得随意进入非维修区域。</w:t>
      </w:r>
    </w:p>
    <w:p w14:paraId="12E2261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7、维保（维修）过程中甲方实行监督检查制度。甲方有权随时进行检查，有权制止违章作业，有权对违反安全规定的行为进行处罚或责令维保队伍停工整顿。</w:t>
      </w:r>
    </w:p>
    <w:p w14:paraId="08DC86C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8、乙方在维保（维修）过程中应遵守下列规定：</w:t>
      </w:r>
    </w:p>
    <w:p w14:paraId="0F2AE67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(1)设立现场工作负责人和安全监督员，对现场维保安全进行全过程监督，对作业区周围存在的孔洞、沟道、带电部位等危险区域应设防护措施和安全警示标识，必要时设专人监护。</w:t>
      </w:r>
    </w:p>
    <w:p w14:paraId="7BD763B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(2)维保人员应按规定正确使用安全防护用具，防止发生机械伤害、物体打击、高处坠落等事故。特种作业人员必须携带特种作业操作证。</w:t>
      </w:r>
    </w:p>
    <w:p w14:paraId="1118C46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(3)施工机器进出场或在场内作业应遵守相关规定，车辆进场应降低车速，应不大于5 km/h；维保（维修）人员场内作业或场外活动应注意交通安全；维修用料和工器具应按规定地点摆放整齐，不得随意乱堆乱放。</w:t>
      </w:r>
    </w:p>
    <w:p w14:paraId="7E32D54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(4)维保（维修）过程中如需动火作业，应根据动火级别由维保单位向甲方提出申请，经批准并确认到达动火条件、落实安全防范措施后方可进行动火作业。</w:t>
      </w:r>
    </w:p>
    <w:p w14:paraId="7F2C809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(5)电气焊等特种作业人员应持证上岗，且应具备必须水平的特种作业的安全知识和技能。电气焊作业时必须做好消防措施。</w:t>
      </w:r>
    </w:p>
    <w:p w14:paraId="694E40D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(6)使用临时电源时，必须配置合格的漏电保护装置，应经常检查漏电保护装置的可靠性。</w:t>
      </w:r>
    </w:p>
    <w:p w14:paraId="7A19D75C">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(7)使用电动工具前，必须认真检查其是否完好，有无漏电，禁止使用不合格的工器具。在潮湿狭小空间内使用手持电动工具作业时，应采取措施防止电动工具受潮造成漏电。</w:t>
      </w:r>
    </w:p>
    <w:p w14:paraId="4C67D62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(8)搬运梯子长物等时，必须放倒搬运，防止触碰带电设备。</w:t>
      </w:r>
    </w:p>
    <w:p w14:paraId="468FD8E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进入有限空间作业前，乙方应向甲方提出作业申请，执行有限空间审批制度。乙方进行有限空间作业时，应对有限空间进行安全检测，配备必要的安全防护用品，注意通风，防止缺氧窒息及有毒有害气体对作业人员造成伤害。</w:t>
      </w:r>
    </w:p>
    <w:p w14:paraId="1781195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(10)维保（维修）现场禁止流动吸烟，禁止随地吐痰、乱丢烟头及其他杂物，保证环境整洁。</w:t>
      </w:r>
    </w:p>
    <w:p w14:paraId="4EB60F5F">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(11)乙方在维保（维修）过程中如发生安全事故应及时通知甲方，保护事故现场，并接受甲方的调查。</w:t>
      </w:r>
    </w:p>
    <w:p w14:paraId="3978978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(12)乙方应认真学习和贯彻《卫生检疫法》，做好新冠肺炎等传染病防控工作，保证饮食卫生，防止食物中毒。</w:t>
      </w:r>
    </w:p>
    <w:p w14:paraId="62595AEC">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(13)乙方在雨季应做好防汛工作，夏季应做好防暑降温工作，冬季应做好冬防措施，保证人员健康安全和维保质量。</w:t>
      </w:r>
    </w:p>
    <w:p w14:paraId="190203E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9、其他未尽事宜由甲乙双方协商解决。</w:t>
      </w:r>
    </w:p>
    <w:p w14:paraId="7D5B70AD">
      <w:pPr>
        <w:pStyle w:val="9"/>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四、奖罚办法</w:t>
      </w:r>
    </w:p>
    <w:p w14:paraId="37FEA7E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在维保（维修）中凡因违反本协议约定的各项安全生产义务而发生工伤事故或造成第三方人身、财产损害的，应承担相应的赔偿责任；给甲方造成损失的，包括但不限于保全费、诉讼费、律师费、鉴定费等，甲方有权要求乙方承担赔偿责任。</w:t>
      </w:r>
    </w:p>
    <w:p w14:paraId="3F7C9AA5">
      <w:pPr>
        <w:pStyle w:val="9"/>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五、其他事项</w:t>
      </w:r>
    </w:p>
    <w:p w14:paraId="2A456F3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1、乙方应按有关规定，采取严格的安全防护措施，否则由于自身安全措施不力而造成事故的职责由乙方自行承担。</w:t>
      </w:r>
    </w:p>
    <w:p w14:paraId="44C8E24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2、本协议书一式陆份，甲方叁份，乙方叁份，经双方签字并盖章之日起生效。</w:t>
      </w:r>
    </w:p>
    <w:p w14:paraId="699CBDD0">
      <w:pPr>
        <w:pStyle w:val="9"/>
        <w:widowControl/>
        <w:spacing w:beforeAutospacing="0" w:afterAutospacing="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3、本协议约定的各项权利义务系针对</w:t>
      </w:r>
      <w:r>
        <w:rPr>
          <w:rFonts w:hint="eastAsia" w:ascii="仿宋_GB2312" w:hAnsi="仿宋_GB2312" w:eastAsia="仿宋_GB2312" w:cs="仿宋_GB2312"/>
          <w:color w:val="000000"/>
          <w:sz w:val="28"/>
          <w:szCs w:val="28"/>
          <w:u w:val="single"/>
          <w:lang w:bidi="ar"/>
        </w:rPr>
        <w:t>合肥市经开区大学城地下空间西广场停车场消防设施设备维保服务</w:t>
      </w:r>
      <w:r>
        <w:rPr>
          <w:rFonts w:hint="eastAsia" w:ascii="仿宋_GB2312" w:hAnsi="仿宋_GB2312" w:eastAsia="仿宋_GB2312" w:cs="仿宋_GB2312"/>
          <w:sz w:val="28"/>
          <w:szCs w:val="28"/>
        </w:rPr>
        <w:t>（合同编号：           ）内容的补充与完善，前述合同未予约定或者与本协议约定不一致的内容，以本协议为准。　　</w:t>
      </w:r>
    </w:p>
    <w:p w14:paraId="3D2ACB79">
      <w:pPr>
        <w:pStyle w:val="9"/>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甲方盖章：___________       乙方盖章：___________</w:t>
      </w:r>
    </w:p>
    <w:p w14:paraId="2DCCC4EA">
      <w:pPr>
        <w:pStyle w:val="9"/>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甲方代表：___________       乙方代表：___________</w:t>
      </w:r>
    </w:p>
    <w:p w14:paraId="23AB0453">
      <w:pPr>
        <w:pStyle w:val="9"/>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72D1AA48">
      <w:pPr>
        <w:spacing w:line="592"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2025年7月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14:paraId="707E8C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17B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43AC4">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C43AC4">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4F9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1A717">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6551A717">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D316">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260EF">
                          <w:pPr>
                            <w:pStyle w:val="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5260EF">
                    <w:pPr>
                      <w:pStyle w:val="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19CFA"/>
    <w:multiLevelType w:val="singleLevel"/>
    <w:tmpl w:val="8B019CFA"/>
    <w:lvl w:ilvl="0" w:tentative="0">
      <w:start w:val="1"/>
      <w:numFmt w:val="decimal"/>
      <w:suff w:val="nothing"/>
      <w:lvlText w:val="%1、"/>
      <w:lvlJc w:val="left"/>
    </w:lvl>
  </w:abstractNum>
  <w:abstractNum w:abstractNumId="1">
    <w:nsid w:val="28A19312"/>
    <w:multiLevelType w:val="singleLevel"/>
    <w:tmpl w:val="28A19312"/>
    <w:lvl w:ilvl="0" w:tentative="0">
      <w:start w:val="1"/>
      <w:numFmt w:val="decimal"/>
      <w:suff w:val="nothing"/>
      <w:lvlText w:val="%1、"/>
      <w:lvlJc w:val="left"/>
    </w:lvl>
  </w:abstractNum>
  <w:abstractNum w:abstractNumId="2">
    <w:nsid w:val="48EF563E"/>
    <w:multiLevelType w:val="singleLevel"/>
    <w:tmpl w:val="48EF563E"/>
    <w:lvl w:ilvl="0" w:tentative="0">
      <w:start w:val="1"/>
      <w:numFmt w:val="decimal"/>
      <w:lvlText w:val="%1."/>
      <w:lvlJc w:val="left"/>
      <w:pPr>
        <w:tabs>
          <w:tab w:val="left" w:pos="312"/>
        </w:tabs>
      </w:pPr>
    </w:lvl>
  </w:abstractNum>
  <w:abstractNum w:abstractNumId="3">
    <w:nsid w:val="645A3C00"/>
    <w:multiLevelType w:val="singleLevel"/>
    <w:tmpl w:val="645A3C00"/>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09374BE5"/>
    <w:rsid w:val="00002FC5"/>
    <w:rsid w:val="00040B69"/>
    <w:rsid w:val="00104828"/>
    <w:rsid w:val="0013210C"/>
    <w:rsid w:val="00170EEA"/>
    <w:rsid w:val="00197674"/>
    <w:rsid w:val="001A2E3C"/>
    <w:rsid w:val="001A3EFA"/>
    <w:rsid w:val="001C68F6"/>
    <w:rsid w:val="001F6430"/>
    <w:rsid w:val="002A0919"/>
    <w:rsid w:val="002B00CA"/>
    <w:rsid w:val="002E1E65"/>
    <w:rsid w:val="00316AD3"/>
    <w:rsid w:val="00357DEB"/>
    <w:rsid w:val="00362B3A"/>
    <w:rsid w:val="00370618"/>
    <w:rsid w:val="00383A4A"/>
    <w:rsid w:val="003944CC"/>
    <w:rsid w:val="003D6FC6"/>
    <w:rsid w:val="004117AC"/>
    <w:rsid w:val="004C188A"/>
    <w:rsid w:val="004E6F0A"/>
    <w:rsid w:val="0051532F"/>
    <w:rsid w:val="005231FA"/>
    <w:rsid w:val="00531EF4"/>
    <w:rsid w:val="00581824"/>
    <w:rsid w:val="00586C3D"/>
    <w:rsid w:val="005A08D0"/>
    <w:rsid w:val="0060603D"/>
    <w:rsid w:val="00630E8A"/>
    <w:rsid w:val="006476F3"/>
    <w:rsid w:val="00676B1E"/>
    <w:rsid w:val="006F6C78"/>
    <w:rsid w:val="007525B0"/>
    <w:rsid w:val="007718F0"/>
    <w:rsid w:val="00780E22"/>
    <w:rsid w:val="00856761"/>
    <w:rsid w:val="00866E28"/>
    <w:rsid w:val="008C258A"/>
    <w:rsid w:val="00915281"/>
    <w:rsid w:val="00924AEE"/>
    <w:rsid w:val="00A01C46"/>
    <w:rsid w:val="00AF01F0"/>
    <w:rsid w:val="00BD3B5C"/>
    <w:rsid w:val="00C37CA1"/>
    <w:rsid w:val="00C93DF8"/>
    <w:rsid w:val="00CA2537"/>
    <w:rsid w:val="00D55046"/>
    <w:rsid w:val="00D62A54"/>
    <w:rsid w:val="00D8137E"/>
    <w:rsid w:val="00DD02EB"/>
    <w:rsid w:val="00E0686F"/>
    <w:rsid w:val="00E27B71"/>
    <w:rsid w:val="00E33BC1"/>
    <w:rsid w:val="00E60BDC"/>
    <w:rsid w:val="00E769CF"/>
    <w:rsid w:val="00E9781C"/>
    <w:rsid w:val="00EB4467"/>
    <w:rsid w:val="00EC60D1"/>
    <w:rsid w:val="00ED037D"/>
    <w:rsid w:val="00F930C0"/>
    <w:rsid w:val="00FE0E26"/>
    <w:rsid w:val="03011BBD"/>
    <w:rsid w:val="0571302A"/>
    <w:rsid w:val="06C27B47"/>
    <w:rsid w:val="07F95F31"/>
    <w:rsid w:val="09374BE5"/>
    <w:rsid w:val="09D84B4E"/>
    <w:rsid w:val="0BCB720C"/>
    <w:rsid w:val="0BDC60E7"/>
    <w:rsid w:val="0C3703FE"/>
    <w:rsid w:val="0ECE329B"/>
    <w:rsid w:val="0FC56F6E"/>
    <w:rsid w:val="12142BEC"/>
    <w:rsid w:val="127E2681"/>
    <w:rsid w:val="12922A85"/>
    <w:rsid w:val="13012287"/>
    <w:rsid w:val="133B7343"/>
    <w:rsid w:val="13FF3EF7"/>
    <w:rsid w:val="14DE272D"/>
    <w:rsid w:val="16117F11"/>
    <w:rsid w:val="1772678E"/>
    <w:rsid w:val="1799346C"/>
    <w:rsid w:val="17A10750"/>
    <w:rsid w:val="17A556A5"/>
    <w:rsid w:val="1B15365A"/>
    <w:rsid w:val="1DBC40F4"/>
    <w:rsid w:val="1E3008A7"/>
    <w:rsid w:val="1F737093"/>
    <w:rsid w:val="21260D15"/>
    <w:rsid w:val="213C304C"/>
    <w:rsid w:val="21B8140F"/>
    <w:rsid w:val="225856BD"/>
    <w:rsid w:val="24607BBA"/>
    <w:rsid w:val="26211AAB"/>
    <w:rsid w:val="288B3561"/>
    <w:rsid w:val="292F3C81"/>
    <w:rsid w:val="29C81BB8"/>
    <w:rsid w:val="2AE50B1D"/>
    <w:rsid w:val="2D29502F"/>
    <w:rsid w:val="2D6A01DB"/>
    <w:rsid w:val="305D3488"/>
    <w:rsid w:val="30BC0D4E"/>
    <w:rsid w:val="30CB05AE"/>
    <w:rsid w:val="311A23BA"/>
    <w:rsid w:val="342E3D2D"/>
    <w:rsid w:val="34621C0C"/>
    <w:rsid w:val="34D50765"/>
    <w:rsid w:val="35C128B9"/>
    <w:rsid w:val="362D36F1"/>
    <w:rsid w:val="37F0752F"/>
    <w:rsid w:val="385E2A9E"/>
    <w:rsid w:val="3949061C"/>
    <w:rsid w:val="3986639D"/>
    <w:rsid w:val="3AD32D95"/>
    <w:rsid w:val="3AE01ADD"/>
    <w:rsid w:val="3B1E3B5A"/>
    <w:rsid w:val="3B912689"/>
    <w:rsid w:val="3D8E3A72"/>
    <w:rsid w:val="42E012EE"/>
    <w:rsid w:val="44BF6C07"/>
    <w:rsid w:val="451B27E5"/>
    <w:rsid w:val="4660483C"/>
    <w:rsid w:val="472860CD"/>
    <w:rsid w:val="478F4B22"/>
    <w:rsid w:val="48D83DF3"/>
    <w:rsid w:val="48F549A5"/>
    <w:rsid w:val="4BA3647F"/>
    <w:rsid w:val="4C793B3F"/>
    <w:rsid w:val="4CC36B68"/>
    <w:rsid w:val="4D7403EC"/>
    <w:rsid w:val="4D740800"/>
    <w:rsid w:val="514A5AAA"/>
    <w:rsid w:val="51EE6EFC"/>
    <w:rsid w:val="530103EA"/>
    <w:rsid w:val="53536E98"/>
    <w:rsid w:val="54120315"/>
    <w:rsid w:val="566C50D2"/>
    <w:rsid w:val="569751B9"/>
    <w:rsid w:val="58366E3F"/>
    <w:rsid w:val="591443AF"/>
    <w:rsid w:val="5A797AC8"/>
    <w:rsid w:val="5B7137E5"/>
    <w:rsid w:val="5BB5462E"/>
    <w:rsid w:val="5C18755F"/>
    <w:rsid w:val="5C6309FA"/>
    <w:rsid w:val="5CBA1BDA"/>
    <w:rsid w:val="5CD40035"/>
    <w:rsid w:val="5D934369"/>
    <w:rsid w:val="5DBB6355"/>
    <w:rsid w:val="5F2F2CCB"/>
    <w:rsid w:val="5F9D757D"/>
    <w:rsid w:val="602A031D"/>
    <w:rsid w:val="616E0971"/>
    <w:rsid w:val="61813D64"/>
    <w:rsid w:val="619402DE"/>
    <w:rsid w:val="61B03707"/>
    <w:rsid w:val="65AD5375"/>
    <w:rsid w:val="66295153"/>
    <w:rsid w:val="66693F13"/>
    <w:rsid w:val="67115456"/>
    <w:rsid w:val="6860404D"/>
    <w:rsid w:val="68B0223F"/>
    <w:rsid w:val="68E24AEE"/>
    <w:rsid w:val="69F12521"/>
    <w:rsid w:val="69FF6E34"/>
    <w:rsid w:val="6B2D5DC9"/>
    <w:rsid w:val="6BE24E05"/>
    <w:rsid w:val="6E665EE0"/>
    <w:rsid w:val="719746A3"/>
    <w:rsid w:val="71CC05B7"/>
    <w:rsid w:val="723A131C"/>
    <w:rsid w:val="743E09EC"/>
    <w:rsid w:val="755624C8"/>
    <w:rsid w:val="76579BE7"/>
    <w:rsid w:val="77E11CC2"/>
    <w:rsid w:val="788A6608"/>
    <w:rsid w:val="78A9664E"/>
    <w:rsid w:val="79030BC5"/>
    <w:rsid w:val="79890FBD"/>
    <w:rsid w:val="799E680F"/>
    <w:rsid w:val="7ABE2632"/>
    <w:rsid w:val="7B67759A"/>
    <w:rsid w:val="7CD267D0"/>
    <w:rsid w:val="7D2A660C"/>
    <w:rsid w:val="7FA206DC"/>
    <w:rsid w:val="F4FF32B0"/>
    <w:rsid w:val="FD3BB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3">
    <w:name w:val="annotation text"/>
    <w:basedOn w:val="1"/>
    <w:qFormat/>
    <w:uiPriority w:val="0"/>
    <w:pPr>
      <w:jc w:val="left"/>
    </w:pPr>
  </w:style>
  <w:style w:type="paragraph" w:styleId="4">
    <w:name w:val="Body Text"/>
    <w:basedOn w:val="1"/>
    <w:qFormat/>
    <w:uiPriority w:val="0"/>
    <w:rPr>
      <w:rFonts w:ascii="宋体" w:hAnsi="Arial"/>
      <w:sz w:val="28"/>
    </w:rPr>
  </w:style>
  <w:style w:type="paragraph" w:styleId="5">
    <w:name w:val="Body Text Indent"/>
    <w:basedOn w:val="1"/>
    <w:qFormat/>
    <w:uiPriority w:val="0"/>
    <w:pPr>
      <w:ind w:firstLine="645"/>
    </w:pPr>
    <w:rPr>
      <w:rFonts w:ascii="楷体_GB2312" w:eastAsia="楷体_GB2312"/>
      <w:sz w:val="32"/>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0"/>
    <w:pPr>
      <w:spacing w:beforeAutospacing="1" w:afterAutospacing="1"/>
      <w:jc w:val="left"/>
    </w:pPr>
    <w:rPr>
      <w:rFonts w:cs="Times New Roman"/>
      <w:kern w:val="0"/>
      <w:sz w:val="24"/>
    </w:rPr>
  </w:style>
  <w:style w:type="paragraph" w:styleId="10">
    <w:name w:val="Body Text First Indent 2"/>
    <w:basedOn w:val="5"/>
    <w:unhideWhenUsed/>
    <w:qFormat/>
    <w:uiPriority w:val="0"/>
    <w:pPr>
      <w:ind w:firstLine="420"/>
    </w:pPr>
    <w:rPr>
      <w:rFonts w:ascii="Calibri" w:hAnsi="Calibri"/>
      <w:szCs w:val="2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autoRedefine/>
    <w:qFormat/>
    <w:uiPriority w:val="1"/>
    <w:rPr>
      <w:rFonts w:ascii="宋体" w:hAnsi="宋体" w:cs="宋体"/>
      <w:lang w:val="zh-CN" w:bidi="zh-CN"/>
    </w:rPr>
  </w:style>
  <w:style w:type="paragraph" w:customStyle="1" w:styleId="15">
    <w:name w:val="正文_0_0"/>
    <w:autoRedefine/>
    <w:qFormat/>
    <w:uiPriority w:val="0"/>
    <w:pPr>
      <w:widowControl w:val="0"/>
      <w:spacing w:line="540" w:lineRule="exact"/>
      <w:ind w:firstLine="643" w:firstLineChars="200"/>
      <w:jc w:val="both"/>
      <w:pPrChange w:id="0" w:author="平安是福" w:date="2025-03-14T14:09:00Z">
        <w:pPr>
          <w:widowControl w:val="0"/>
          <w:jc w:val="both"/>
        </w:pPr>
      </w:pPrChange>
    </w:pPr>
    <w:rPr>
      <w:rFonts w:ascii="仿宋_GB2312" w:hAnsi="Times New Roman" w:eastAsia="仿宋_GB2312" w:cs="Times New Roman"/>
      <w:b/>
      <w:kern w:val="2"/>
      <w:sz w:val="32"/>
      <w:szCs w:val="28"/>
      <w:lang w:val="en-US" w:eastAsia="zh-CN" w:bidi="ar-SA"/>
      <w:rPrChange w:id="1" w:author="平安是福" w:date="2025-03-14T14:09:00Z">
        <w:rPr>
          <w:rFonts w:eastAsia="宋体"/>
          <w:kern w:val="2"/>
          <w:sz w:val="21"/>
          <w:szCs w:val="24"/>
          <w:lang w:val="en-US" w:eastAsia="zh-CN" w:bidi="ar-SA"/>
        </w:rPr>
      </w:rPrChange>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13"/>
    <w:link w:val="6"/>
    <w:qFormat/>
    <w:uiPriority w:val="0"/>
    <w:rPr>
      <w:rFonts w:asciiTheme="minorHAnsi" w:hAnsiTheme="minorHAnsi" w:eastAsiaTheme="minorEastAsia" w:cstheme="minorBidi"/>
      <w:kern w:val="2"/>
      <w:sz w:val="18"/>
      <w:szCs w:val="18"/>
    </w:rPr>
  </w:style>
  <w:style w:type="paragraph" w:customStyle="1" w:styleId="19">
    <w:name w:val="p1"/>
    <w:basedOn w:val="1"/>
    <w:qFormat/>
    <w:uiPriority w:val="0"/>
    <w:pPr>
      <w:jc w:val="left"/>
    </w:pPr>
    <w:rPr>
      <w:rFonts w:ascii="Helvetica Neue" w:hAnsi="Helvetica Neue" w:eastAsia="Helvetica Neue" w:cs="Times New Roman"/>
      <w:kern w:val="0"/>
      <w:sz w:val="26"/>
      <w:szCs w:val="26"/>
    </w:rPr>
  </w:style>
  <w:style w:type="paragraph" w:customStyle="1" w:styleId="20">
    <w:name w:val="p2"/>
    <w:basedOn w:val="1"/>
    <w:qFormat/>
    <w:uiPriority w:val="0"/>
    <w:pPr>
      <w:jc w:val="left"/>
    </w:pPr>
    <w:rPr>
      <w:rFonts w:ascii="PingFang SC" w:hAnsi="PingFang SC" w:eastAsia="PingFang SC" w:cs="Times New Roman"/>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27776</Words>
  <Characters>28461</Characters>
  <Lines>270</Lines>
  <Paragraphs>76</Paragraphs>
  <TotalTime>4</TotalTime>
  <ScaleCrop>false</ScaleCrop>
  <LinksUpToDate>false</LinksUpToDate>
  <CharactersWithSpaces>36176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2024-10-15T14:29:00Z</dcterms:created>
  <dc:creator>平安是福</dc:creator>
  <cp:lastModifiedBy>平安是福</cp:lastModifiedBy>
  <cp:lastPrinted>2024-10-24T08:43:00Z</cp:lastPrinted>
  <dcterms:modified xsi:type="dcterms:W3CDTF">2025-07-10T03:20:35Z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4E642C3C98E54752BB94E09EC8B6E287_11</vt:lpwstr>
  </property>
  <property fmtid="{D5CDD505-2E9C-101B-9397-08002B2CF9AE}" pid="4" name="KSOTemplateDocerSaveRecord">
    <vt:lpwstr>eyJoZGlkIjoiYzNjMzE3ZmE4ODI4MWMyMTQ0OWM1MWQ1ZGFjY2RkZTQiLCJ1c2VySWQiOiIzOTM0MzExMjEifQ==</vt:lpwstr>
  </property>
</Properties>
</file>