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F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8"/>
          <w:sz w:val="52"/>
          <w:szCs w:val="52"/>
        </w:rPr>
      </w:pPr>
    </w:p>
    <w:p w14:paraId="35F7E0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52"/>
          <w:szCs w:val="52"/>
          <w:lang w:val="en-US" w:eastAsia="zh-CN"/>
        </w:rPr>
        <w:t>仪武路地下停车场通风管道维修</w:t>
      </w:r>
    </w:p>
    <w:p w14:paraId="0B5985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  <w:r>
        <w:rPr>
          <w:rFonts w:hint="eastAsia" w:ascii="宋体" w:hAnsi="宋体" w:eastAsia="宋体" w:cs="宋体"/>
          <w:b/>
          <w:bCs/>
          <w:spacing w:val="8"/>
          <w:sz w:val="52"/>
          <w:szCs w:val="52"/>
          <w:lang w:val="en-US" w:eastAsia="zh-CN"/>
        </w:rPr>
        <w:t>项目</w:t>
      </w:r>
    </w:p>
    <w:p w14:paraId="234984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58495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4594F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556647DC">
      <w:pPr>
        <w:spacing w:before="208" w:line="222" w:lineRule="auto"/>
        <w:jc w:val="center"/>
        <w:outlineLvl w:val="0"/>
        <w:rPr>
          <w:rFonts w:hint="eastAsia" w:asciiTheme="majorEastAsia" w:hAnsiTheme="majorEastAsia" w:eastAsiaTheme="majorEastAsia" w:cstheme="majorEastAsia"/>
          <w:spacing w:val="11"/>
          <w:sz w:val="60"/>
          <w:szCs w:val="6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1"/>
          <w:sz w:val="60"/>
          <w:szCs w:val="60"/>
        </w:rPr>
        <w:t>询价文件</w:t>
      </w:r>
    </w:p>
    <w:p w14:paraId="276C33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6F7D6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561687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21611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b/>
          <w:bCs/>
          <w:spacing w:val="4"/>
          <w:sz w:val="49"/>
          <w:szCs w:val="49"/>
        </w:rPr>
      </w:pPr>
    </w:p>
    <w:p w14:paraId="417CA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17"/>
          <w:sz w:val="28"/>
          <w:szCs w:val="28"/>
        </w:rPr>
      </w:pPr>
    </w:p>
    <w:p w14:paraId="0D4924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593" w:hanging="1593" w:hangingChars="45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</w:rPr>
        <w:t>项目名称</w:t>
      </w:r>
      <w:r>
        <w:rPr>
          <w:rFonts w:hint="eastAsia" w:ascii="黑体" w:hAnsi="黑体" w:eastAsia="黑体" w:cs="黑体"/>
          <w:b/>
          <w:bCs/>
          <w:spacing w:val="74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仪武路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地下停车场通风管道维修项目</w:t>
      </w:r>
    </w:p>
    <w:p w14:paraId="3D3729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default" w:ascii="黑体" w:hAnsi="黑体" w:eastAsia="黑体" w:cs="黑体"/>
          <w:b w:val="0"/>
          <w:bCs w:val="0"/>
          <w:spacing w:val="17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</w:rPr>
        <w:t>项目编号</w:t>
      </w:r>
      <w:r>
        <w:rPr>
          <w:rFonts w:hint="eastAsia" w:ascii="黑体" w:hAnsi="黑体" w:eastAsia="黑体" w:cs="黑体"/>
          <w:b/>
          <w:bCs/>
          <w:spacing w:val="74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  <w:t>FXCB-2025-010</w:t>
      </w:r>
    </w:p>
    <w:p w14:paraId="69BD40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default" w:ascii="黑体" w:hAnsi="黑体" w:eastAsia="黑体" w:cs="黑体"/>
          <w:b w:val="0"/>
          <w:bCs w:val="0"/>
          <w:spacing w:val="7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4"/>
          <w:sz w:val="32"/>
          <w:szCs w:val="32"/>
        </w:rPr>
        <w:t>招标人</w:t>
      </w:r>
      <w:r>
        <w:rPr>
          <w:rFonts w:hint="eastAsia" w:ascii="黑体" w:hAnsi="黑体" w:eastAsia="黑体" w:cs="黑体"/>
          <w:b/>
          <w:bCs/>
          <w:spacing w:val="74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肥西城市泊车投资管理有限公司</w:t>
      </w:r>
    </w:p>
    <w:p w14:paraId="63EAE6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</w:rPr>
        <w:t>招标时间</w:t>
      </w:r>
      <w:r>
        <w:rPr>
          <w:rFonts w:hint="eastAsia" w:ascii="黑体" w:hAnsi="黑体" w:eastAsia="黑体" w:cs="黑体"/>
          <w:b/>
          <w:bCs/>
          <w:spacing w:val="74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  <w:t>二〇二五年八月</w:t>
      </w:r>
    </w:p>
    <w:p w14:paraId="68319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17"/>
          <w:sz w:val="40"/>
          <w:szCs w:val="40"/>
          <w:lang w:val="en-US" w:eastAsia="zh-CN"/>
        </w:rPr>
      </w:pPr>
    </w:p>
    <w:p w14:paraId="05DD3633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6AF5AF9E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04FC84A3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58EAFF7D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询价文件</w:t>
      </w:r>
    </w:p>
    <w:p w14:paraId="3EDDF727"/>
    <w:p w14:paraId="6F6B0DA8">
      <w:pPr>
        <w:pStyle w:val="9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项目概况</w:t>
      </w:r>
    </w:p>
    <w:p w14:paraId="3CA8C8F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FXCB-2025-010</w:t>
      </w:r>
    </w:p>
    <w:p w14:paraId="51F62D8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2.项目名称：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仪武路地下停车场通风管道维修项目</w:t>
      </w:r>
    </w:p>
    <w:p w14:paraId="0C25BD1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3.项目范围：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仪武路地下停车场通风管道维修更换</w:t>
      </w:r>
    </w:p>
    <w:p w14:paraId="00EB802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4.项目业主：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肥西城市泊车投资管理有限公司</w:t>
      </w:r>
    </w:p>
    <w:p w14:paraId="767F583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5.项目概况：本项目位于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仪武路与江淮大道交口仪武路地下停车场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，本次改造内容包含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原通风管道的拆除、角铁横梁防锈处理以及镀锌通风管的安装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。具体详见附件：工程量清单及图纸</w:t>
      </w:r>
    </w:p>
    <w:p w14:paraId="17E8B99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6.项目类别：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eastAsia="zh-CN"/>
        </w:rPr>
        <w:t>☑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 xml:space="preserve">工程 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eastAsia="zh-CN"/>
        </w:rPr>
        <w:t>□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 xml:space="preserve">货物 </w:t>
      </w:r>
      <w:r>
        <w:rPr>
          <w:rFonts w:hint="eastAsia" w:eastAsia="仿宋_GB2312"/>
          <w:snapToGrid w:val="0"/>
          <w:sz w:val="28"/>
          <w:szCs w:val="28"/>
        </w:rPr>
        <w:t>□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服务</w:t>
      </w:r>
    </w:p>
    <w:p w14:paraId="7A50D32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7.项目概算：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55506.39元</w:t>
      </w:r>
    </w:p>
    <w:p w14:paraId="608A4783">
      <w:pPr>
        <w:pStyle w:val="9"/>
        <w:widowControl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</w:p>
    <w:p w14:paraId="202291B8">
      <w:pPr>
        <w:pStyle w:val="9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二、资格条件及相关说明</w:t>
      </w:r>
    </w:p>
    <w:p w14:paraId="0C268FFE">
      <w:pPr>
        <w:keepNext w:val="0"/>
        <w:keepLines w:val="0"/>
        <w:pageBreakBefore w:val="0"/>
        <w:tabs>
          <w:tab w:val="left" w:pos="1059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1.投标人具有独立法人资格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具有有效的营业执照，税务登记证及组织机构代码证（或三证合一有效证件），具有独立承担民事责任的能力，经营范围覆盖本项目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；</w:t>
      </w:r>
    </w:p>
    <w:p w14:paraId="0CBFA0F9">
      <w:pPr>
        <w:keepNext w:val="0"/>
        <w:keepLines w:val="0"/>
        <w:pageBreakBefore w:val="0"/>
        <w:tabs>
          <w:tab w:val="left" w:pos="1059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.信誉要求：信誉良好。（需提供无不良征信承诺书）</w:t>
      </w:r>
    </w:p>
    <w:p w14:paraId="26C18968">
      <w:pPr>
        <w:keepNext w:val="0"/>
        <w:keepLines w:val="0"/>
        <w:pageBreakBefore w:val="0"/>
        <w:tabs>
          <w:tab w:val="left" w:pos="1059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.与招标人存在利害关系可能影响招标公正性的法人、其他组织或个人，不得参加投标。</w:t>
      </w:r>
    </w:p>
    <w:p w14:paraId="646F200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.本项目不允许分包、不允许转包；一经发现将取消投标人中标资格。</w:t>
      </w:r>
    </w:p>
    <w:p w14:paraId="10F2E17A">
      <w:pPr>
        <w:widowControl/>
        <w:spacing w:line="540" w:lineRule="exact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14:paraId="366BAC9E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三、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工期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需求</w:t>
      </w:r>
    </w:p>
    <w:p w14:paraId="7FB8A8AB">
      <w:pPr>
        <w:keepNext w:val="0"/>
        <w:keepLines w:val="0"/>
        <w:pageBreakBefore w:val="0"/>
        <w:widowControl w:val="0"/>
        <w:tabs>
          <w:tab w:val="left" w:pos="1059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个日历日</w:t>
      </w:r>
    </w:p>
    <w:p w14:paraId="0C183C18">
      <w:pPr>
        <w:pStyle w:val="9"/>
        <w:widowControl/>
        <w:spacing w:beforeAutospacing="0" w:afterAutospacing="0" w:line="540" w:lineRule="exact"/>
        <w:jc w:val="both"/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lang w:bidi="ar"/>
        </w:rPr>
      </w:pPr>
    </w:p>
    <w:p w14:paraId="799435B3">
      <w:pPr>
        <w:pStyle w:val="9"/>
        <w:widowControl/>
        <w:spacing w:beforeAutospacing="0" w:afterAutospacing="0" w:line="540" w:lineRule="exact"/>
        <w:jc w:val="both"/>
        <w:rPr>
          <w:rFonts w:ascii="仿宋_GB2312" w:hAnsi="宋体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  <w:lang w:bidi="ar"/>
        </w:rPr>
        <w:t>四、项目报价</w:t>
      </w:r>
    </w:p>
    <w:p w14:paraId="621264F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1.报价方式：见附件2。</w:t>
      </w:r>
    </w:p>
    <w:p w14:paraId="60C46A1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2.报价要求：投标单位所报单价为包干价，包含以上采购内容的全部费用，</w:t>
      </w:r>
      <w:r>
        <w:rPr>
          <w:rFonts w:ascii="Times New Roman" w:hAnsi="Times New Roman" w:eastAsia="仿宋_GB2312"/>
          <w:sz w:val="28"/>
          <w:szCs w:val="28"/>
        </w:rPr>
        <w:t>一旦中标，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后期</w:t>
      </w:r>
      <w:r>
        <w:rPr>
          <w:rFonts w:ascii="Times New Roman" w:hAnsi="Times New Roman" w:eastAsia="仿宋_GB2312"/>
          <w:sz w:val="28"/>
          <w:szCs w:val="28"/>
        </w:rPr>
        <w:t>不予以调整。</w:t>
      </w:r>
    </w:p>
    <w:p w14:paraId="6290A88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</w:t>
      </w:r>
      <w:r>
        <w:rPr>
          <w:rFonts w:ascii="Times New Roman" w:hAnsi="Times New Roman" w:eastAsia="仿宋_GB2312"/>
          <w:sz w:val="28"/>
          <w:szCs w:val="28"/>
        </w:rPr>
        <w:t>最高</w:t>
      </w:r>
      <w:r>
        <w:rPr>
          <w:rFonts w:hint="eastAsia" w:ascii="Times New Roman" w:hAnsi="Times New Roman" w:eastAsia="仿宋_GB2312"/>
          <w:sz w:val="28"/>
          <w:szCs w:val="28"/>
        </w:rPr>
        <w:t>投标</w:t>
      </w:r>
      <w:r>
        <w:rPr>
          <w:rFonts w:ascii="Times New Roman" w:hAnsi="Times New Roman" w:eastAsia="仿宋_GB2312"/>
          <w:sz w:val="28"/>
          <w:szCs w:val="28"/>
        </w:rPr>
        <w:t>限价：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55506.39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元</w:t>
      </w:r>
      <w:r>
        <w:rPr>
          <w:rFonts w:ascii="Times New Roman" w:hAnsi="Times New Roman" w:eastAsia="仿宋_GB2312"/>
          <w:sz w:val="28"/>
          <w:szCs w:val="28"/>
        </w:rPr>
        <w:t>（含税价）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 w14:paraId="6325CAA1">
      <w:pPr>
        <w:widowControl/>
        <w:spacing w:line="540" w:lineRule="exact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14:paraId="1267EB0A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五、投标材料提交</w:t>
      </w:r>
    </w:p>
    <w:p w14:paraId="7E45284A">
      <w:pPr>
        <w:widowControl/>
        <w:spacing w:line="540" w:lineRule="exact"/>
        <w:ind w:firstLine="560" w:firstLineChars="20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投标函需经投标人法定代表人或其授权代表签字、盖章；如为授权代表签字，请附授权委托书。内容包括：</w:t>
      </w:r>
    </w:p>
    <w:p w14:paraId="73E4D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询价响应函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（格式见附件1）</w:t>
      </w:r>
    </w:p>
    <w:p w14:paraId="59F5B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2.报价单（格式见附件2）</w:t>
      </w:r>
    </w:p>
    <w:p w14:paraId="071BB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营业执照复印件</w:t>
      </w:r>
    </w:p>
    <w:p w14:paraId="46EBB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4.授权委托书（格式见附件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 w14:paraId="24178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ar"/>
        </w:rPr>
        <w:t>法人代表身份证复印件</w:t>
      </w:r>
    </w:p>
    <w:p w14:paraId="01B72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6.无不良征信承诺书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附件4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0196F3BF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注：以上材料均需加盖公章。</w:t>
      </w:r>
    </w:p>
    <w:p w14:paraId="0FBB6F3F">
      <w:pPr>
        <w:widowControl/>
        <w:spacing w:line="540" w:lineRule="exact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14:paraId="3EE82A31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六、采购要求</w:t>
      </w:r>
    </w:p>
    <w:p w14:paraId="67284E61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  <w:lang w:bidi="ar"/>
        </w:rPr>
        <w:t>（一）基本要求</w:t>
      </w:r>
    </w:p>
    <w:p w14:paraId="17462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仿宋_GB2312" w:hAnsi="宋体" w:eastAsia="仿宋_GB2312" w:cs="仿宋_GB2312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.投标人</w:t>
      </w: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应完全理解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招标人</w:t>
      </w: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的需求，并保证全部响应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。</w:t>
      </w:r>
    </w:p>
    <w:p w14:paraId="6C28C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仿宋_GB2312" w:hAnsi="宋体" w:eastAsia="仿宋_GB2312" w:cs="仿宋_GB2312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2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.投标人</w:t>
      </w:r>
      <w:r>
        <w:rPr>
          <w:rFonts w:ascii="仿宋_GB2312" w:hAnsi="宋体" w:eastAsia="仿宋_GB2312" w:cs="仿宋_GB2312"/>
          <w:kern w:val="0"/>
          <w:sz w:val="28"/>
          <w:szCs w:val="28"/>
          <w:lang w:bidi="ar"/>
        </w:rPr>
        <w:t>需保证所提交的产品不侵犯任何人的知识产权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。</w:t>
      </w:r>
    </w:p>
    <w:p w14:paraId="01C16925">
      <w:pPr>
        <w:pStyle w:val="15"/>
        <w:keepNext w:val="0"/>
        <w:keepLines w:val="0"/>
        <w:pageBreakBefore w:val="0"/>
        <w:tabs>
          <w:tab w:val="left" w:pos="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eastAsia="仿宋_GB2312" w:cs="仿宋_GB2312"/>
          <w:kern w:val="0"/>
          <w:sz w:val="28"/>
          <w:szCs w:val="28"/>
          <w:lang w:val="en-US" w:bidi="ar"/>
        </w:rPr>
      </w:pPr>
      <w:r>
        <w:rPr>
          <w:rFonts w:ascii="仿宋_GB2312" w:eastAsia="仿宋_GB2312" w:cs="仿宋_GB2312"/>
          <w:kern w:val="0"/>
          <w:sz w:val="28"/>
          <w:szCs w:val="28"/>
          <w:lang w:bidi="ar"/>
        </w:rPr>
        <w:t>3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>.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bidi="ar"/>
        </w:rPr>
        <w:t>中标人不得擅自更换投标时所报该项目拟派人员，否则招标人有权终止合同，由此造成的损失，中标人自行承担并赔偿全部损失。确需更换时，须报经招标人同意，更换后人员不得低于中标人投标时所报人员资质水平。招标人如认为有必要，可要求对上述人员中的部分人员作出更好的调整。</w:t>
      </w:r>
    </w:p>
    <w:p w14:paraId="285B1BFE">
      <w:pPr>
        <w:widowControl/>
        <w:spacing w:line="540" w:lineRule="exact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14:paraId="5706C392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七、评审方法和标准</w:t>
      </w:r>
    </w:p>
    <w:p w14:paraId="4CE77507">
      <w:pPr>
        <w:pStyle w:val="9"/>
        <w:widowControl/>
        <w:spacing w:beforeAutospacing="0" w:afterAutospacing="0" w:line="540" w:lineRule="exact"/>
        <w:ind w:firstLine="560" w:firstLineChars="20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bidi="ar"/>
        </w:rPr>
        <w:t>1.本次采购按照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 w:bidi="ar"/>
        </w:rPr>
        <w:t>有效最低价</w:t>
      </w:r>
      <w:r>
        <w:rPr>
          <w:rFonts w:hint="eastAsia" w:ascii="仿宋" w:hAnsi="仿宋" w:eastAsia="仿宋" w:cs="仿宋"/>
          <w:color w:val="auto"/>
          <w:sz w:val="28"/>
          <w:szCs w:val="28"/>
          <w:lang w:bidi="ar"/>
        </w:rPr>
        <w:t>确定成交单位。该成交单位的报价即为签约的合同价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 w:bidi="ar"/>
        </w:rPr>
        <w:t>。</w:t>
      </w:r>
    </w:p>
    <w:p w14:paraId="5E4AC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2.</w:t>
      </w:r>
      <w:r>
        <w:rPr>
          <w:rFonts w:hint="eastAsia" w:ascii="仿宋_GB2312" w:eastAsia="仿宋_GB2312"/>
          <w:sz w:val="28"/>
          <w:szCs w:val="28"/>
        </w:rPr>
        <w:t>该中标人的报价即为签约的合同价，其报价将作为合同的组成部分。</w:t>
      </w:r>
    </w:p>
    <w:p w14:paraId="4E0DD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3.投标人的报价应不能高于最高投标限价，否则将否决其投标。</w:t>
      </w:r>
    </w:p>
    <w:p w14:paraId="603BFEAE">
      <w:pPr>
        <w:pStyle w:val="9"/>
        <w:widowControl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</w:pPr>
    </w:p>
    <w:p w14:paraId="420CE290">
      <w:pPr>
        <w:pStyle w:val="9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八、本项目询价说明</w:t>
      </w:r>
    </w:p>
    <w:p w14:paraId="2B5E9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1.投标人可以不对招标人的采购文件做出报价，但一经做出报价，即不可撤回。 </w:t>
      </w:r>
    </w:p>
    <w:p w14:paraId="5A19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2.如投标人不足三家则招标人有权终止本次询价，且不向各投标人作任何解释。</w:t>
      </w:r>
    </w:p>
    <w:p w14:paraId="7C236347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九、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提交响应文件截止时间及地点及相关事宜 </w:t>
      </w:r>
    </w:p>
    <w:p w14:paraId="4F505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1.投标人应根据采购文件内容，于202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前，向招标人递交投标文件。</w:t>
      </w:r>
    </w:p>
    <w:p w14:paraId="72EDF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2.投标文件须加盖单位公章密封后送至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肥西城市泊车投资管理有限公司</w:t>
      </w:r>
      <w:r>
        <w:rPr>
          <w:rFonts w:hint="eastAsia" w:ascii="仿宋_GB2312" w:eastAsia="仿宋_GB2312"/>
          <w:sz w:val="28"/>
          <w:szCs w:val="28"/>
        </w:rPr>
        <w:t>地址。</w:t>
      </w:r>
    </w:p>
    <w:p w14:paraId="5764C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3.逾期送达的或者未送达指定地点、未按采购文件密封的文件，不予接收。</w:t>
      </w:r>
    </w:p>
    <w:p w14:paraId="2A8CF57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eastAsia="仿宋_GB2312"/>
          <w:sz w:val="28"/>
          <w:szCs w:val="28"/>
        </w:rPr>
        <w:t>4.开标时间：202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</w:p>
    <w:p w14:paraId="40437F90">
      <w:pPr>
        <w:pStyle w:val="9"/>
        <w:widowControl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</w:pPr>
    </w:p>
    <w:p w14:paraId="08CC484B">
      <w:pPr>
        <w:pStyle w:val="9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十、付款方式</w:t>
      </w:r>
    </w:p>
    <w:p w14:paraId="1124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付款方式：银行转账。</w:t>
      </w:r>
    </w:p>
    <w:p w14:paraId="51EE5A51">
      <w:pPr>
        <w:pStyle w:val="9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十一、补充说明</w:t>
      </w:r>
    </w:p>
    <w:p w14:paraId="181289FF">
      <w:pPr>
        <w:pStyle w:val="16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投标人提供的与本次询价有关的各类证书、证明、文件、资料等的真实性、合法性由投标人负全责。如发现投标人有弄虚作假或提供不实信息的行为，无论在投标有效期内还是在合同履约期内，一经发现，将取消其中标资格或终止合同。</w:t>
      </w:r>
    </w:p>
    <w:p w14:paraId="70A508B4">
      <w:pPr>
        <w:pStyle w:val="16"/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2.本项目清单控制价编制费由中标单位按合价协【2022】011文的52%在领取中标通知书后3个工作日内支付给清单控制价编制单位。</w:t>
      </w:r>
    </w:p>
    <w:p w14:paraId="4B31493D">
      <w:pPr>
        <w:pStyle w:val="16"/>
        <w:spacing w:line="54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3.本项目为一次性包干价。</w:t>
      </w:r>
    </w:p>
    <w:p w14:paraId="431ABBD8">
      <w:pPr>
        <w:widowControl/>
        <w:spacing w:line="54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 xml:space="preserve">十二、联系方式 </w:t>
      </w:r>
    </w:p>
    <w:p w14:paraId="29776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地址：合肥市肥西县上派镇金星和园四期商铺4栋四层403室</w:t>
      </w:r>
    </w:p>
    <w:p w14:paraId="66A0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马工</w:t>
      </w:r>
    </w:p>
    <w:p w14:paraId="5B6B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19156591150</w:t>
      </w:r>
    </w:p>
    <w:p w14:paraId="4E91A83A">
      <w:pPr>
        <w:spacing w:line="5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1B96E5D7">
      <w:pPr>
        <w:pStyle w:val="3"/>
        <w:rPr>
          <w:rFonts w:hint="eastAsia"/>
          <w:lang w:val="en-US" w:eastAsia="zh-CN"/>
        </w:rPr>
      </w:pPr>
    </w:p>
    <w:p w14:paraId="508DBEA4">
      <w:pPr>
        <w:spacing w:line="540" w:lineRule="exact"/>
        <w:ind w:firstLine="3640" w:firstLineChars="13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肥西城市泊车投资管理有限公司</w:t>
      </w:r>
    </w:p>
    <w:p w14:paraId="40733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 w:firstLine="4480" w:firstLineChars="16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1F60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0095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41A46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0067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14ED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1A8DD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7449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4E16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7DD8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6F16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询价响应函</w:t>
      </w:r>
    </w:p>
    <w:p w14:paraId="5A4C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960" w:firstLineChars="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项目报价表</w:t>
      </w:r>
    </w:p>
    <w:p w14:paraId="6AB2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.授权委托书</w:t>
      </w:r>
    </w:p>
    <w:p w14:paraId="7999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.无不良征信承诺书</w:t>
      </w:r>
    </w:p>
    <w:p w14:paraId="032E77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firstLine="960" w:firstLineChars="3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5.资格审查表</w:t>
      </w:r>
    </w:p>
    <w:p w14:paraId="563872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atLeast"/>
        <w:ind w:left="1278" w:leftChars="456" w:hanging="320" w:hangingChars="1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6.仪武地下停车场通风管道维修项目合同</w:t>
      </w:r>
    </w:p>
    <w:p w14:paraId="369E0E43">
      <w:pPr>
        <w:rPr>
          <w:rFonts w:hint="eastAsia" w:ascii="仿宋_GB2312" w:eastAsia="仿宋_GB2312"/>
          <w:sz w:val="32"/>
          <w:szCs w:val="32"/>
        </w:rPr>
      </w:pPr>
    </w:p>
    <w:p w14:paraId="682C49D4">
      <w:pPr>
        <w:rPr>
          <w:rFonts w:hint="eastAsia" w:ascii="仿宋_GB2312" w:eastAsia="仿宋_GB2312"/>
          <w:sz w:val="32"/>
          <w:szCs w:val="32"/>
        </w:rPr>
      </w:pPr>
    </w:p>
    <w:p w14:paraId="409E3763">
      <w:pPr>
        <w:rPr>
          <w:rFonts w:hint="eastAsia" w:ascii="仿宋_GB2312" w:eastAsia="仿宋_GB2312"/>
          <w:sz w:val="32"/>
          <w:szCs w:val="32"/>
        </w:rPr>
      </w:pPr>
    </w:p>
    <w:p w14:paraId="53F2FE80">
      <w:pPr>
        <w:rPr>
          <w:rFonts w:hint="eastAsia" w:ascii="仿宋_GB2312" w:eastAsia="仿宋_GB2312"/>
          <w:sz w:val="32"/>
          <w:szCs w:val="32"/>
        </w:rPr>
      </w:pPr>
    </w:p>
    <w:p w14:paraId="01F6389E">
      <w:pPr>
        <w:rPr>
          <w:rFonts w:hint="eastAsia" w:ascii="仿宋_GB2312" w:eastAsia="仿宋_GB2312"/>
          <w:sz w:val="32"/>
          <w:szCs w:val="32"/>
        </w:rPr>
      </w:pPr>
    </w:p>
    <w:p w14:paraId="08118101">
      <w:pPr>
        <w:rPr>
          <w:rFonts w:hint="eastAsia" w:ascii="仿宋_GB2312" w:eastAsia="仿宋_GB2312"/>
          <w:sz w:val="32"/>
          <w:szCs w:val="32"/>
        </w:rPr>
      </w:pPr>
    </w:p>
    <w:p w14:paraId="152D7113">
      <w:pPr>
        <w:rPr>
          <w:rFonts w:hint="eastAsia" w:ascii="仿宋_GB2312" w:eastAsia="仿宋_GB2312"/>
          <w:sz w:val="32"/>
          <w:szCs w:val="32"/>
        </w:rPr>
      </w:pPr>
    </w:p>
    <w:p w14:paraId="6B3BEF80">
      <w:pPr>
        <w:rPr>
          <w:rFonts w:hint="eastAsia" w:ascii="仿宋_GB2312" w:eastAsia="仿宋_GB2312"/>
          <w:sz w:val="32"/>
          <w:szCs w:val="32"/>
        </w:rPr>
      </w:pPr>
    </w:p>
    <w:p w14:paraId="37776BD2">
      <w:pPr>
        <w:rPr>
          <w:rFonts w:hint="eastAsia" w:ascii="仿宋_GB2312" w:eastAsia="仿宋_GB2312"/>
          <w:sz w:val="32"/>
          <w:szCs w:val="32"/>
        </w:rPr>
      </w:pPr>
    </w:p>
    <w:p w14:paraId="0E2174BD">
      <w:pPr>
        <w:rPr>
          <w:rFonts w:hint="eastAsia" w:ascii="仿宋_GB2312" w:eastAsia="仿宋_GB2312"/>
          <w:sz w:val="32"/>
          <w:szCs w:val="32"/>
        </w:rPr>
      </w:pPr>
    </w:p>
    <w:p w14:paraId="446E8E80">
      <w:pPr>
        <w:rPr>
          <w:rFonts w:hint="eastAsia" w:ascii="仿宋_GB2312" w:eastAsia="仿宋_GB2312"/>
          <w:sz w:val="32"/>
          <w:szCs w:val="32"/>
        </w:rPr>
      </w:pPr>
    </w:p>
    <w:p w14:paraId="7E856E7F">
      <w:pPr>
        <w:rPr>
          <w:rFonts w:hint="eastAsia" w:ascii="仿宋_GB2312" w:eastAsia="仿宋_GB2312"/>
          <w:sz w:val="32"/>
          <w:szCs w:val="32"/>
        </w:rPr>
      </w:pPr>
    </w:p>
    <w:p w14:paraId="7BE1A11B">
      <w:pPr>
        <w:rPr>
          <w:rFonts w:hint="eastAsia" w:ascii="仿宋_GB2312" w:eastAsia="仿宋_GB2312"/>
          <w:sz w:val="32"/>
          <w:szCs w:val="32"/>
        </w:rPr>
      </w:pPr>
    </w:p>
    <w:p w14:paraId="0D79D598">
      <w:pPr>
        <w:rPr>
          <w:rFonts w:hint="eastAsia" w:ascii="仿宋_GB2312" w:eastAsia="仿宋_GB2312"/>
          <w:sz w:val="32"/>
          <w:szCs w:val="32"/>
        </w:rPr>
      </w:pPr>
    </w:p>
    <w:p w14:paraId="5DF5FB00">
      <w:pPr>
        <w:rPr>
          <w:rFonts w:hint="eastAsia" w:ascii="仿宋_GB2312" w:eastAsia="仿宋_GB2312"/>
          <w:sz w:val="32"/>
          <w:szCs w:val="32"/>
        </w:rPr>
      </w:pPr>
    </w:p>
    <w:p w14:paraId="27D38599">
      <w:pPr>
        <w:rPr>
          <w:rFonts w:hint="eastAsia" w:ascii="仿宋_GB2312" w:eastAsia="仿宋_GB2312"/>
          <w:sz w:val="32"/>
          <w:szCs w:val="32"/>
        </w:rPr>
      </w:pPr>
    </w:p>
    <w:p w14:paraId="403852A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0E674D38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询价响应函</w:t>
      </w:r>
    </w:p>
    <w:p w14:paraId="00E0DB7B"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 w:bidi="ar"/>
        </w:rPr>
      </w:pPr>
    </w:p>
    <w:p w14:paraId="007E9BB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致：肥西城市泊车投资管理有限公司</w:t>
      </w:r>
    </w:p>
    <w:p w14:paraId="33A4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在研究了肥西城市泊车投资管理有限公司的询价函，了解了项目情况后，我们愿意按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仪武地下停车场通风管道维修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报价表中的投标总报价（详见“项目报价表”），遵照询价函中的条款、工期等要求，完成该项目的施工。</w:t>
      </w:r>
    </w:p>
    <w:p w14:paraId="51BF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（1）我方承诺在收到中标通知后，在规定的期限内与你方签订合同；</w:t>
      </w:r>
    </w:p>
    <w:p w14:paraId="5121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（2）我方承诺在合同约定的期限内完成本合同工程，达到合同规定的要求；</w:t>
      </w:r>
    </w:p>
    <w:p w14:paraId="7230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（3）我方同意询价文件规定的付款方式、服务期限等各项要求；</w:t>
      </w:r>
    </w:p>
    <w:p w14:paraId="57C97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（4）我方在此声明，所递交的投标文件及有关资料内容完整、真实和准确。</w:t>
      </w:r>
    </w:p>
    <w:p w14:paraId="3EEFF9F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 w14:paraId="4857FB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 w14:paraId="678B3F1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投标单位：</w:t>
      </w:r>
    </w:p>
    <w:p w14:paraId="3CC5275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法定代表人（或授权代理人）：            （签字或盖章）</w:t>
      </w:r>
    </w:p>
    <w:p w14:paraId="49E7C24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日期：         年       月      日</w:t>
      </w:r>
    </w:p>
    <w:p w14:paraId="52E6AE6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 w14:paraId="5CB4C3BA">
      <w:pPr>
        <w:rPr>
          <w:rFonts w:hint="eastAsia" w:ascii="仿宋_GB2312" w:eastAsia="仿宋_GB2312"/>
          <w:sz w:val="32"/>
          <w:szCs w:val="32"/>
        </w:rPr>
      </w:pPr>
    </w:p>
    <w:p w14:paraId="667BE93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50AA2398">
      <w:pPr>
        <w:pStyle w:val="10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项目报价表</w:t>
      </w:r>
    </w:p>
    <w:p w14:paraId="27E0358E">
      <w:pPr>
        <w:pStyle w:val="3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tbl>
      <w:tblPr>
        <w:tblStyle w:val="11"/>
        <w:tblW w:w="9576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1"/>
        <w:gridCol w:w="2404"/>
        <w:gridCol w:w="746"/>
        <w:gridCol w:w="1035"/>
        <w:gridCol w:w="843"/>
        <w:gridCol w:w="1035"/>
        <w:gridCol w:w="1430"/>
      </w:tblGrid>
      <w:tr w14:paraId="7EA4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规格及尺寸（cm）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8A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厚1.5mm，高度40×宽度190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7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23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展开面积200.56㎡</w:t>
            </w:r>
          </w:p>
        </w:tc>
      </w:tr>
      <w:tr w14:paraId="5B9A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0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D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展开面积19.32㎡</w:t>
            </w:r>
          </w:p>
        </w:tc>
      </w:tr>
      <w:tr w14:paraId="69E9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6D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3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展开面积39.10㎡</w:t>
            </w:r>
          </w:p>
        </w:tc>
      </w:tr>
      <w:tr w14:paraId="1364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厚1.0mm，高度32×宽度70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C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8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展开面积14.076㎡</w:t>
            </w:r>
          </w:p>
        </w:tc>
      </w:tr>
      <w:tr w14:paraId="2C8D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风管排烟口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厚1.0mm，35cm*90cm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DF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9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A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B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角铁横梁防锈处理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0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A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预计除锈防锈长度100米</w:t>
            </w:r>
          </w:p>
        </w:tc>
      </w:tr>
      <w:tr w14:paraId="7FB9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角铁横梁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宽4cm*高4cmm*厚度3mm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C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2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原通风管拆除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包含拆除、垃圾清运等费用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1C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2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包含辅材（如膨胀螺丝等）、角铁焊接、安装以及与原通风管连接等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B1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8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B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1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3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D4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总展开面积273.056㎡</w:t>
            </w:r>
          </w:p>
        </w:tc>
      </w:tr>
    </w:tbl>
    <w:p w14:paraId="032DB3E9">
      <w:pPr>
        <w:pStyle w:val="3"/>
        <w:ind w:left="0" w:leftChars="0" w:firstLine="0" w:firstLineChars="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F590FA1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296EE336">
      <w:pPr>
        <w:jc w:val="center"/>
        <w:rPr>
          <w:rFonts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授权委托书</w:t>
      </w:r>
    </w:p>
    <w:p w14:paraId="77BDDB18">
      <w:pPr>
        <w:spacing w:line="360" w:lineRule="auto"/>
        <w:rPr>
          <w:rFonts w:ascii="Calibri" w:hAnsi="Calibri" w:eastAsia="仿宋" w:cs="Times New Roman"/>
          <w:b/>
          <w:sz w:val="28"/>
          <w:szCs w:val="28"/>
        </w:rPr>
      </w:pPr>
    </w:p>
    <w:p w14:paraId="0EB9BCC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（姓名）系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（投标人名称）的法定代表人，现委托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（姓名），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（身份证号）为我方代理人。代理人根据授权，我方名义签署、澄清、说明、补正、递交、撤回、修改                                      （项目名称）的投标文件，其法律后果由我方承担。</w:t>
      </w:r>
    </w:p>
    <w:p w14:paraId="226171AC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委托期限:</w:t>
      </w:r>
    </w:p>
    <w:p w14:paraId="62BAAB2B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 w14:paraId="2AAB617C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附：法定代表人证明书</w:t>
      </w:r>
    </w:p>
    <w:p w14:paraId="23003F02">
      <w:pPr>
        <w:rPr>
          <w:rFonts w:ascii="仿宋_GB2312" w:eastAsia="仿宋_GB2312"/>
          <w:sz w:val="32"/>
          <w:szCs w:val="32"/>
        </w:rPr>
      </w:pPr>
    </w:p>
    <w:p w14:paraId="0E837470">
      <w:pPr>
        <w:ind w:firstLine="960" w:firstLineChars="300"/>
        <w:rPr>
          <w:rFonts w:ascii="仿宋_GB2312" w:eastAsia="仿宋_GB2312"/>
          <w:sz w:val="32"/>
          <w:szCs w:val="32"/>
        </w:rPr>
      </w:pPr>
    </w:p>
    <w:p w14:paraId="48C982BC"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投标人：（单位盖章）</w:t>
      </w:r>
    </w:p>
    <w:p w14:paraId="4C363D4E"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法定代表人：（签字）</w:t>
      </w:r>
    </w:p>
    <w:p w14:paraId="0D707D28"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 w14:paraId="1D60E49C"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委托代理人：（签字）</w:t>
      </w:r>
    </w:p>
    <w:p w14:paraId="55AA3B07"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 w14:paraId="7F8BA800">
      <w:pPr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2750B37A">
      <w:pPr>
        <w:rPr>
          <w:rFonts w:ascii="仿宋_GB2312" w:eastAsia="仿宋_GB2312"/>
          <w:sz w:val="32"/>
          <w:szCs w:val="32"/>
        </w:rPr>
      </w:pPr>
    </w:p>
    <w:p w14:paraId="2EB281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注：法定代表</w:t>
      </w:r>
      <w:r>
        <w:rPr>
          <w:rFonts w:ascii="仿宋_GB2312" w:eastAsia="仿宋_GB2312"/>
          <w:sz w:val="32"/>
          <w:szCs w:val="32"/>
        </w:rPr>
        <w:t>人参加询价的无需提供授权书，仅提供身份证明扫描件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18D03DD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 w14:paraId="61AEC9C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无不良征信承诺书</w:t>
      </w:r>
    </w:p>
    <w:p w14:paraId="1747CBA5">
      <w:pPr>
        <w:pStyle w:val="3"/>
        <w:rPr>
          <w:lang w:val="zh-CN"/>
        </w:rPr>
      </w:pPr>
    </w:p>
    <w:p w14:paraId="041A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郑重声明，根据《中华人民共和国政府采购法》及《中华人民共和国政府采购法实施条例》等相关法律法规规定，参加采购活动前三年内，本单位在经营活动中没有重大违法记录，没有因违法经营受到刑事处罚或者责令停产停业、吊销许可证或者执照、较大数额罚款等行政处罚，且未在被禁止参加政府采购活动的处罚期限内。</w:t>
      </w:r>
    </w:p>
    <w:p w14:paraId="72BE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本单位郑重声明，我单位无以下不良信用记录情形：</w:t>
      </w:r>
    </w:p>
    <w:p w14:paraId="3263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（1）被人民法院列入失信被执行人；</w:t>
      </w:r>
    </w:p>
    <w:p w14:paraId="1B3F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（2）单位、律所负责人或拟派项目经理（项目负责人）被人民检察院列入行贿犯罪档案；</w:t>
      </w:r>
    </w:p>
    <w:p w14:paraId="3D0E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（3）被工商行政管理部门列入企业经营异常名录；</w:t>
      </w:r>
    </w:p>
    <w:p w14:paraId="0919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（4）被税务部门列入重大税收违法案件当事人名单；</w:t>
      </w:r>
    </w:p>
    <w:p w14:paraId="6E417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（5）被政府采购监管部门列入政府采购严重违法失信行为记录名单。</w:t>
      </w:r>
    </w:p>
    <w:p w14:paraId="234E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本单位对上述声明的真实性负责。如有虚假，将依法承担相应责任。</w:t>
      </w:r>
    </w:p>
    <w:p w14:paraId="635D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97FC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投标单位（盖章）：</w:t>
      </w:r>
    </w:p>
    <w:p w14:paraId="4266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         期：    年    月   日</w:t>
      </w:r>
    </w:p>
    <w:p w14:paraId="53E6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AEC2081">
      <w:pPr>
        <w:rPr>
          <w:rFonts w:hint="eastAsia" w:ascii="仿宋_GB2312" w:eastAsia="仿宋_GB2312"/>
          <w:sz w:val="32"/>
          <w:szCs w:val="32"/>
        </w:rPr>
      </w:pPr>
    </w:p>
    <w:p w14:paraId="23173EC0">
      <w:pP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 w14:paraId="5A3596C8">
      <w:pPr>
        <w:pStyle w:val="9"/>
        <w:widowControl/>
        <w:spacing w:beforeAutospacing="0" w:afterAutospacing="0" w:line="592" w:lineRule="exact"/>
        <w:ind w:left="964" w:hanging="964" w:hangingChars="300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资格审查评审表</w:t>
      </w:r>
    </w:p>
    <w:p w14:paraId="6B848230">
      <w:pPr>
        <w:pStyle w:val="9"/>
        <w:widowControl/>
        <w:spacing w:beforeAutospacing="0" w:afterAutospacing="0" w:line="592" w:lineRule="exact"/>
        <w:ind w:left="964" w:hanging="964" w:hangingChars="300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</w:pPr>
    </w:p>
    <w:tbl>
      <w:tblPr>
        <w:tblStyle w:val="11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01"/>
        <w:gridCol w:w="2159"/>
        <w:gridCol w:w="1099"/>
        <w:gridCol w:w="3583"/>
      </w:tblGrid>
      <w:tr w14:paraId="2F45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59223D37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0A9C145A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实质性指标名称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 w14:paraId="1D601791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指标要求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 w14:paraId="5CB105DE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是否通过</w:t>
            </w:r>
          </w:p>
        </w:tc>
        <w:tc>
          <w:tcPr>
            <w:tcW w:w="3583" w:type="dxa"/>
            <w:tcBorders>
              <w:bottom w:val="single" w:color="auto" w:sz="4" w:space="0"/>
            </w:tcBorders>
            <w:vAlign w:val="center"/>
          </w:tcPr>
          <w:p w14:paraId="3BA7B55E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响应文件格式及提交资料要求</w:t>
            </w:r>
          </w:p>
        </w:tc>
      </w:tr>
      <w:tr w14:paraId="1C24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 w14:paraId="57E6C13E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bottom w:val="single" w:color="auto" w:sz="4" w:space="0"/>
            </w:tcBorders>
            <w:vAlign w:val="center"/>
          </w:tcPr>
          <w:p w14:paraId="25653363">
            <w:pPr>
              <w:spacing w:line="400" w:lineRule="exact"/>
              <w:ind w:right="-11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营业执照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 w14:paraId="6570E441">
            <w:pPr>
              <w:spacing w:line="400" w:lineRule="exact"/>
              <w:ind w:right="-11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在有效期内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 w14:paraId="0F5D9CAA">
            <w:pPr>
              <w:adjustRightInd w:val="0"/>
              <w:snapToGrid w:val="0"/>
              <w:spacing w:line="400" w:lineRule="exact"/>
              <w:ind w:right="-11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tcBorders>
              <w:bottom w:val="single" w:color="auto" w:sz="4" w:space="0"/>
            </w:tcBorders>
            <w:vAlign w:val="center"/>
          </w:tcPr>
          <w:p w14:paraId="43D51288">
            <w:pPr>
              <w:adjustRightInd w:val="0"/>
              <w:snapToGrid w:val="0"/>
              <w:spacing w:line="400" w:lineRule="exact"/>
              <w:ind w:right="-11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提供扫描件</w:t>
            </w:r>
          </w:p>
        </w:tc>
      </w:tr>
      <w:tr w14:paraId="5B5B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815" w:type="dxa"/>
            <w:vAlign w:val="center"/>
          </w:tcPr>
          <w:p w14:paraId="14072978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1" w:type="dxa"/>
            <w:vAlign w:val="center"/>
          </w:tcPr>
          <w:p w14:paraId="32CE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 w:bidi="ar"/>
              </w:rPr>
              <w:t>询价响应函</w:t>
            </w:r>
          </w:p>
        </w:tc>
        <w:tc>
          <w:tcPr>
            <w:tcW w:w="2159" w:type="dxa"/>
            <w:vAlign w:val="center"/>
          </w:tcPr>
          <w:p w14:paraId="23DC8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50" w:line="400" w:lineRule="exact"/>
              <w:ind w:right="-1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符合采购文件要求</w:t>
            </w:r>
          </w:p>
        </w:tc>
        <w:tc>
          <w:tcPr>
            <w:tcW w:w="1099" w:type="dxa"/>
            <w:vAlign w:val="center"/>
          </w:tcPr>
          <w:p w14:paraId="57D1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14:paraId="3EC5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10" w:rightChars="0"/>
              <w:jc w:val="center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是否按照附件提供</w:t>
            </w:r>
          </w:p>
        </w:tc>
      </w:tr>
      <w:tr w14:paraId="415A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815" w:type="dxa"/>
            <w:vAlign w:val="center"/>
          </w:tcPr>
          <w:p w14:paraId="61765C20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1" w:type="dxa"/>
            <w:vAlign w:val="center"/>
          </w:tcPr>
          <w:p w14:paraId="79F323AC">
            <w:pPr>
              <w:spacing w:line="400" w:lineRule="exact"/>
              <w:ind w:right="-11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zh-CN"/>
              </w:rPr>
              <w:t>无不良征信承诺书</w:t>
            </w:r>
          </w:p>
        </w:tc>
        <w:tc>
          <w:tcPr>
            <w:tcW w:w="2159" w:type="dxa"/>
            <w:vAlign w:val="center"/>
          </w:tcPr>
          <w:p w14:paraId="31386727">
            <w:pPr>
              <w:spacing w:after="50" w:line="400" w:lineRule="exact"/>
              <w:ind w:right="-10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符合采购文件要求</w:t>
            </w:r>
          </w:p>
        </w:tc>
        <w:tc>
          <w:tcPr>
            <w:tcW w:w="1099" w:type="dxa"/>
            <w:vAlign w:val="center"/>
          </w:tcPr>
          <w:p w14:paraId="15DF262A">
            <w:pPr>
              <w:adjustRightInd w:val="0"/>
              <w:snapToGrid w:val="0"/>
              <w:spacing w:line="400" w:lineRule="exact"/>
              <w:ind w:right="-10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14:paraId="467253B4">
            <w:pPr>
              <w:adjustRightInd w:val="0"/>
              <w:snapToGrid w:val="0"/>
              <w:spacing w:line="400" w:lineRule="exact"/>
              <w:ind w:right="-10" w:rightChars="0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是否按照附件提供</w:t>
            </w:r>
          </w:p>
        </w:tc>
      </w:tr>
      <w:tr w14:paraId="62A4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15" w:type="dxa"/>
            <w:vAlign w:val="center"/>
          </w:tcPr>
          <w:p w14:paraId="3248F22B">
            <w:pPr>
              <w:adjustRightInd w:val="0"/>
              <w:snapToGrid w:val="0"/>
              <w:spacing w:line="400" w:lineRule="exact"/>
              <w:ind w:right="-1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1" w:type="dxa"/>
            <w:vAlign w:val="center"/>
          </w:tcPr>
          <w:p w14:paraId="7A7383EE">
            <w:pPr>
              <w:spacing w:line="400" w:lineRule="exact"/>
              <w:ind w:right="-11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授权委托书或法人身份证复印件</w:t>
            </w:r>
          </w:p>
        </w:tc>
        <w:tc>
          <w:tcPr>
            <w:tcW w:w="2159" w:type="dxa"/>
            <w:vAlign w:val="center"/>
          </w:tcPr>
          <w:p w14:paraId="1B3323ED">
            <w:pPr>
              <w:spacing w:after="50" w:line="400" w:lineRule="exact"/>
              <w:ind w:right="-10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是否提供</w:t>
            </w:r>
          </w:p>
        </w:tc>
        <w:tc>
          <w:tcPr>
            <w:tcW w:w="1099" w:type="dxa"/>
            <w:vAlign w:val="center"/>
          </w:tcPr>
          <w:p w14:paraId="7B47230C">
            <w:pPr>
              <w:adjustRightInd w:val="0"/>
              <w:snapToGrid w:val="0"/>
              <w:spacing w:line="400" w:lineRule="exact"/>
              <w:ind w:right="-10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14:paraId="2477A2ED">
            <w:pPr>
              <w:adjustRightInd w:val="0"/>
              <w:snapToGrid w:val="0"/>
              <w:spacing w:line="400" w:lineRule="exact"/>
              <w:ind w:right="-10" w:righ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是否提供</w:t>
            </w:r>
          </w:p>
        </w:tc>
      </w:tr>
      <w:tr w14:paraId="4447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  <w:jc w:val="center"/>
        </w:trPr>
        <w:tc>
          <w:tcPr>
            <w:tcW w:w="9557" w:type="dxa"/>
            <w:gridSpan w:val="5"/>
            <w:vAlign w:val="center"/>
          </w:tcPr>
          <w:p w14:paraId="7B7F6773">
            <w:pPr>
              <w:pStyle w:val="4"/>
              <w:spacing w:before="139" w:line="400" w:lineRule="exact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评审指标通过标准：</w:t>
            </w:r>
          </w:p>
          <w:p w14:paraId="73971591">
            <w:pPr>
              <w:pStyle w:val="4"/>
              <w:spacing w:before="139" w:line="360" w:lineRule="auto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（1）资格审查采用定性方法，符合性评审，所有评审选项必须全部通过方为合格。</w:t>
            </w:r>
          </w:p>
          <w:p w14:paraId="14D606D3">
            <w:pPr>
              <w:adjustRightInd w:val="0"/>
              <w:snapToGrid w:val="0"/>
              <w:spacing w:line="360" w:lineRule="auto"/>
              <w:ind w:right="-1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评审委员会根据表中所列各项指标对投标人是否为有效标进行评审，未列入上表中的指标不得作为废标依据。符合评审指标通过标准的，为有效投标。未通过评审的投标人将不参与详细评审。</w:t>
            </w:r>
          </w:p>
          <w:p w14:paraId="17C4407A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（2）投标人提供的资料不全、不清楚、超出有效期等情况，将由评审委员会按照对投标人不利的解释去理解，由此产生的一切后果由投标人自行承担。</w:t>
            </w:r>
          </w:p>
        </w:tc>
      </w:tr>
    </w:tbl>
    <w:p w14:paraId="6E84570F">
      <w:pPr>
        <w:pStyle w:val="3"/>
        <w:ind w:firstLine="0" w:firstLineChars="0"/>
      </w:pPr>
    </w:p>
    <w:p w14:paraId="61763F7A">
      <w:pPr>
        <w:pStyle w:val="3"/>
        <w:ind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评审人员会签：</w:t>
      </w:r>
    </w:p>
    <w:p w14:paraId="44CFC11F">
      <w:pPr>
        <w:pStyle w:val="3"/>
        <w:ind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2619C43">
      <w:pPr>
        <w:pStyle w:val="3"/>
        <w:ind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D5AE742"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附件6：</w:t>
      </w:r>
    </w:p>
    <w:p w14:paraId="2950D8A4"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仪武地下停车场通风管道维修项目合同</w:t>
      </w:r>
    </w:p>
    <w:p w14:paraId="2A8DE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6B3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甲方名称：</w:t>
      </w:r>
      <w:r>
        <w:rPr>
          <w:rFonts w:hint="eastAsia" w:ascii="仿宋" w:hAnsi="仿宋" w:eastAsia="仿宋" w:cs="仿宋"/>
          <w:sz w:val="28"/>
          <w:szCs w:val="28"/>
          <w:u w:val="none"/>
        </w:rPr>
        <w:t>肥西城市泊车投资管理有限公司</w:t>
      </w:r>
    </w:p>
    <w:p w14:paraId="6707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纳税人识别号：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9134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0123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MA2N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43UD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97</w:t>
      </w:r>
    </w:p>
    <w:p w14:paraId="5D3C6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地址：合肥市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肥西县上派镇金星和园四期商铺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4栋四层403室</w:t>
      </w:r>
    </w:p>
    <w:p w14:paraId="08DB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0551-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62578826</w:t>
      </w:r>
    </w:p>
    <w:p w14:paraId="6E3A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开户行：中国工商银行肥西县支行</w:t>
      </w:r>
    </w:p>
    <w:p w14:paraId="2F3B7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账户：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1302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0041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0920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0414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157</w:t>
      </w:r>
    </w:p>
    <w:p w14:paraId="149F9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EC84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C4C7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纳税人识别号：</w:t>
      </w:r>
    </w:p>
    <w:p w14:paraId="7060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5C97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 w14:paraId="5B6A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开户行：</w:t>
      </w:r>
    </w:p>
    <w:p w14:paraId="23AF7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账户：</w:t>
      </w:r>
    </w:p>
    <w:p w14:paraId="4605A5C1"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77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根据《中华人民共和国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及相关</w:t>
      </w:r>
      <w:r>
        <w:rPr>
          <w:rFonts w:hint="eastAsia" w:ascii="仿宋" w:hAnsi="仿宋" w:eastAsia="仿宋" w:cs="仿宋"/>
          <w:sz w:val="28"/>
          <w:szCs w:val="28"/>
        </w:rPr>
        <w:t>法律法规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规定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</w:t>
      </w:r>
      <w:r>
        <w:rPr>
          <w:rFonts w:hint="eastAsia" w:ascii="仿宋" w:hAnsi="仿宋" w:eastAsia="仿宋" w:cs="仿宋"/>
          <w:sz w:val="28"/>
          <w:szCs w:val="28"/>
        </w:rPr>
        <w:t>遵循平等、自愿、公平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友好互惠互利的原则，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 w:bidi="ar"/>
        </w:rPr>
        <w:t>仪武地下停车场通风管道维修项目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经协商一致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达成如下协议，以资双方共同恪守。</w:t>
      </w:r>
    </w:p>
    <w:p w14:paraId="5EA74F0B">
      <w:pPr>
        <w:spacing w:line="520" w:lineRule="exact"/>
        <w:rPr>
          <w:rFonts w:hint="eastAsia" w:ascii="仿宋" w:hAnsi="仿宋" w:eastAsia="仿宋" w:cs="仿宋"/>
          <w:b/>
          <w:sz w:val="28"/>
          <w:szCs w:val="28"/>
          <w:u w:val="none"/>
        </w:rPr>
      </w:pPr>
    </w:p>
    <w:p w14:paraId="350CE63F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第一条 工程概况：</w:t>
      </w:r>
    </w:p>
    <w:p w14:paraId="2F9A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1.1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>工程名称：</w:t>
      </w:r>
    </w:p>
    <w:p w14:paraId="4D799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1.2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>工程地址：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</w:p>
    <w:p w14:paraId="47BDC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1.3 施工范围：      </w:t>
      </w:r>
    </w:p>
    <w:p w14:paraId="145F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1.4 承包方式：包工包料、包工期、包验收           </w:t>
      </w:r>
    </w:p>
    <w:p w14:paraId="2364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1.5 施工工期：本工程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自合同签订起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个日历日内完工</w:t>
      </w:r>
    </w:p>
    <w:p w14:paraId="043CBCB8">
      <w:pPr>
        <w:pStyle w:val="10"/>
        <w:ind w:left="0" w:leftChars="0" w:firstLine="600" w:firstLineChars="200"/>
        <w:rPr>
          <w:rFonts w:hint="default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1.6计划开工时间：2025年   月   日</w:t>
      </w:r>
    </w:p>
    <w:p w14:paraId="72B40342">
      <w:pPr>
        <w:pStyle w:val="10"/>
        <w:ind w:left="0" w:leftChars="0" w:firstLine="1200" w:firstLineChars="400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计划竣工时间：2025年   月   日</w:t>
      </w:r>
    </w:p>
    <w:p w14:paraId="2DB59FDB">
      <w:pPr>
        <w:pStyle w:val="10"/>
        <w:ind w:left="0" w:leftChars="0" w:firstLine="600" w:firstLineChars="200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 xml:space="preserve">1.7 质量标准：合格 </w:t>
      </w:r>
    </w:p>
    <w:p w14:paraId="62F7CF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工程施工技术要求及验收标准按照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技术规范及其他现行国家或行业技术规范执行。</w:t>
      </w:r>
    </w:p>
    <w:p w14:paraId="5E524B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凡因乙方施工原因造成工程质量缺陷的，由乙方及时自行负责修复，并不再支付相关修复费用，乙方未能及时修复，或不履行修复义务的，甲方可选择其他施工单位进行修复，修复所发生费用由乙方负责。</w:t>
      </w:r>
    </w:p>
    <w:p w14:paraId="57A43D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工程使用主要材料均需满足现行国家及行业产品质量规定。</w:t>
      </w:r>
    </w:p>
    <w:p w14:paraId="76563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77" w:firstLineChars="242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1.7合同价款：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施工合同总额为：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，大写金额：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（其中不含税金额：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，税费金额：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,税率：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  <w:r>
        <w:rPr>
          <w:rFonts w:hint="eastAsia" w:ascii="仿宋" w:hAnsi="仿宋" w:eastAsia="仿宋" w:cs="仿宋"/>
          <w:sz w:val="28"/>
          <w:szCs w:val="28"/>
        </w:rPr>
        <w:t>合同价格包括材料、人员、物流、安装及税费等。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本合同最终结算以实际发生量为准，具体按照工程量清单单价计算。</w:t>
      </w:r>
    </w:p>
    <w:p w14:paraId="05817288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 w14:paraId="69994A15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第二条  甲方义务</w:t>
      </w:r>
    </w:p>
    <w:p w14:paraId="2AF1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hanging="560" w:hanging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2.1为乙方入场施工创造条件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;</w:t>
      </w:r>
      <w:r>
        <w:rPr>
          <w:rFonts w:hint="eastAsia" w:ascii="仿宋" w:hAnsi="仿宋" w:eastAsia="仿宋" w:cs="仿宋"/>
          <w:sz w:val="28"/>
          <w:szCs w:val="28"/>
        </w:rPr>
        <w:t xml:space="preserve"> 保证施工用水用电的方便，费用由甲方承担。</w:t>
      </w:r>
    </w:p>
    <w:p w14:paraId="0072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hanging="560" w:hanging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安排好其他配套施工单位的协调工作，做到不影响维修工程的顺利进展。以免造成乙方返工。</w:t>
      </w:r>
    </w:p>
    <w:p w14:paraId="4971991D">
      <w:pPr>
        <w:spacing w:line="510" w:lineRule="exact"/>
        <w:ind w:left="800" w:hanging="700" w:hangingChars="25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FCC63F0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第三条  乙方义务</w:t>
      </w:r>
    </w:p>
    <w:p w14:paraId="1599F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乙方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指派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）作为本项目的项目经理，</w:t>
      </w:r>
      <w:r>
        <w:rPr>
          <w:rFonts w:hint="eastAsia" w:ascii="仿宋" w:hAnsi="仿宋" w:eastAsia="仿宋" w:cs="仿宋"/>
          <w:sz w:val="28"/>
          <w:szCs w:val="28"/>
        </w:rPr>
        <w:t>未经甲方书面同意不得更换项目经理，否则乙方向甲方支付违约金两万元。</w:t>
      </w:r>
    </w:p>
    <w:p w14:paraId="19949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乙方需精心组织，安全文明施工，做好各项质量检验记录，以备竣工验收。确保工程保质保量按期完成。</w:t>
      </w:r>
    </w:p>
    <w:p w14:paraId="5D3A1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 在没有征得甲方或者有关部门的同意，不得随意破坏原来的结构、管线等。</w:t>
      </w:r>
    </w:p>
    <w:p w14:paraId="4A83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 保持施工现场的清洁工作，必须做好每一项工程的成品保护工作。</w:t>
      </w:r>
    </w:p>
    <w:p w14:paraId="4881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 在竣工后、验收前，负责所有的成品保护和现场打扫。</w:t>
      </w:r>
    </w:p>
    <w:p w14:paraId="30F8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 乙方必须确保工程质量达到行业规定标准，符合国家标准及甲方需要，能顺利通过验收，否则乙方负责整改直至合格，相关整改费用由乙方承担。</w:t>
      </w:r>
    </w:p>
    <w:p w14:paraId="3EF7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3.7 如果因本项目和附近居民发生纠纷，在解决纠纷的过程中，乙方确保不能因纠纷导致影响甲方的所有正常工作秩序，如给甲方造成损失的，由乙方承担赔偿责任。乙方负责施工过程的安全，如造成甲乙方或第三方人员伤亡或财产损失的由乙方负责赔偿。</w:t>
      </w:r>
    </w:p>
    <w:p w14:paraId="6B021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3.8 乙方不得将工程转包分包，否则将向甲方支付违约金一万元，同时赔偿甲方由此造成的损失。</w:t>
      </w:r>
    </w:p>
    <w:p w14:paraId="7EBF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3.9施工中，乙方必须贯彻“安全第一、预防为主、综合治理”的方针，执行“谁管生产，谁负责安全”的原则，负责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为工人</w:t>
      </w:r>
      <w:r>
        <w:rPr>
          <w:rFonts w:hint="eastAsia" w:ascii="仿宋" w:hAnsi="仿宋" w:eastAsia="仿宋" w:cs="仿宋"/>
          <w:sz w:val="28"/>
          <w:szCs w:val="28"/>
        </w:rPr>
        <w:t>办理国家及当地劳动保障部门规定的各种社会保险和工伤保险，按约定支付劳动报酬，否则造成的法律责任由乙方承担。乙方若发生对内、对外交通、工伤等事故及意外伤害，由乙方自行解决，费用自理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428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3.10乙方应于本合同签订之日起3个工作日内向甲方提交书面的施工进度表，经甲方签字确认无误后，乙方按照施工进度表进行施工。乙方竣工撤场时，不允许遗留问题。否则，甲方不必经乙方同意，有权处理甲方确认是乙方遗留的问题，费用由甲方从乙方劳务费中直接扣除。</w:t>
      </w:r>
    </w:p>
    <w:p w14:paraId="5BC4A9FD">
      <w:pPr>
        <w:spacing w:line="51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6F1EE73C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第四条 关于工程期限</w:t>
      </w:r>
    </w:p>
    <w:p w14:paraId="60A3F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4.1乙方必须按合同约定的时间完成所有工程，因乙方原因导致工程延期，按拖延工期每天工程总价款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1%</w:t>
      </w:r>
      <w:r>
        <w:rPr>
          <w:rFonts w:hint="eastAsia" w:ascii="仿宋" w:hAnsi="仿宋" w:eastAsia="仿宋" w:cs="仿宋"/>
          <w:sz w:val="28"/>
          <w:szCs w:val="28"/>
        </w:rPr>
        <w:t xml:space="preserve"> 的标准向甲方支付违约金，并直接从乙方的履约保证金中扣除，直至工程完工验收合格。不可抗拒的因素除外（如地震、台风、政府行为等）。</w:t>
      </w:r>
    </w:p>
    <w:p w14:paraId="1F93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4.2 甲方要求此合同约定的工期提前竣工时，应征得乙方同意，并支付乙方为提前竣工所采取措施的费用。  </w:t>
      </w:r>
    </w:p>
    <w:p w14:paraId="1731D687">
      <w:pPr>
        <w:spacing w:line="510" w:lineRule="exact"/>
        <w:ind w:left="800" w:hanging="700" w:hangingChars="25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BC4B536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第五条 工程项目变更方式</w:t>
      </w:r>
    </w:p>
    <w:p w14:paraId="62E87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 工程项目及施工方式如需变更，双方应协商一致，先签订工程变更单和经济签证单后施工。</w:t>
      </w:r>
    </w:p>
    <w:p w14:paraId="4B8A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 甲方设计变更，应在该项工程施工前通知乙方；如因甲方设计变更造成乙方材料无法使用或积压，应由甲方负责处理，并承担全部处理费用，并相应顺延工期。顺延的工期由双方协商确定。</w:t>
      </w:r>
    </w:p>
    <w:p w14:paraId="0E9D0B6E">
      <w:pPr>
        <w:spacing w:line="510" w:lineRule="exact"/>
        <w:ind w:left="800" w:hanging="700" w:hangingChars="25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FD05078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第六条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材料供应：乙方自供</w:t>
      </w:r>
    </w:p>
    <w:p w14:paraId="307F5530">
      <w:pPr>
        <w:numPr>
          <w:ilvl w:val="0"/>
          <w:numId w:val="0"/>
        </w:numPr>
        <w:spacing w:line="510" w:lineRule="exact"/>
        <w:ind w:leftChars="-25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3086CD3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第七条 工程造价及预算</w:t>
      </w:r>
    </w:p>
    <w:p w14:paraId="35C4384C">
      <w:pPr>
        <w:spacing w:line="510" w:lineRule="exact"/>
        <w:ind w:left="800" w:hanging="700" w:hangingChars="25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7.1 本合同价款形式为：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按照验收后的价格为准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2E674A6">
      <w:pPr>
        <w:spacing w:line="510" w:lineRule="exact"/>
        <w:ind w:left="800" w:hanging="700" w:hangingChars="250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7.2 结算方式：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结算价=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实际验收后价格</w:t>
      </w:r>
    </w:p>
    <w:p w14:paraId="021236DC">
      <w:pPr>
        <w:spacing w:line="510" w:lineRule="exact"/>
        <w:ind w:left="800" w:hanging="700" w:hangingChars="25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 w14:paraId="6978D2AA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第八条 工程验收方式</w:t>
      </w:r>
    </w:p>
    <w:p w14:paraId="3348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41A4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8.1 乙方在施工过程中，甲方委派有关人员现场监督，如有质量问题，甲方应及时指出，以免工程完工后产生争议，监督中出现争议，甲乙双方主要负责人协商解决。由于乙方施工质量问题造成的返工，返工时所造成的一切损失由乙方负责。</w:t>
      </w:r>
    </w:p>
    <w:p w14:paraId="494A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8.2 本工程采用一次性验收，乙方在整体施工完毕后进行整体验收。乙方在整体施工完毕后的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日内甲方组织验收，验收合格的甲方向乙方签发验收合格通知书，验收不合格的，甲方应书面通知乙方，乙方在收到验收不合格通知后的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日内进行维修，因此造成甲方损失的乙方应按照工期延误的标准向甲方赔偿。</w:t>
      </w:r>
    </w:p>
    <w:p w14:paraId="007B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8.3甲方验收合格之日起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年为工程保修期。在保修期内如发生需要维修时，甲方应及时通知乙方，乙方负责在接到甲方通知次日内立即组织维修。乙方不及时维修，甲方有权委托第三方维修，维修费用由乙方承担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乙方不支付时甲方有权在保修金中予以相应扣减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3EAED62">
      <w:pPr>
        <w:spacing w:line="520" w:lineRule="exact"/>
        <w:ind w:left="640" w:hanging="560" w:hanging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5D75E12D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第九条 款项支付方式</w:t>
      </w:r>
    </w:p>
    <w:p w14:paraId="1AFBC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支付方式：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转账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待</w:t>
      </w:r>
      <w:r>
        <w:rPr>
          <w:rFonts w:hint="eastAsia" w:ascii="仿宋" w:hAnsi="仿宋" w:eastAsia="仿宋" w:cs="仿宋"/>
          <w:sz w:val="28"/>
          <w:szCs w:val="28"/>
        </w:rPr>
        <w:t>工程竣工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后，由甲方对工程进行验收后，</w:t>
      </w:r>
      <w:r>
        <w:rPr>
          <w:rFonts w:hint="eastAsia" w:ascii="仿宋" w:hAnsi="仿宋" w:eastAsia="仿宋" w:cs="仿宋"/>
          <w:sz w:val="28"/>
          <w:szCs w:val="28"/>
        </w:rPr>
        <w:t>乙方开具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验收后工程总额</w:t>
      </w:r>
      <w:r>
        <w:rPr>
          <w:rFonts w:hint="eastAsia" w:ascii="仿宋" w:hAnsi="仿宋" w:eastAsia="仿宋" w:cs="仿宋"/>
          <w:sz w:val="28"/>
          <w:szCs w:val="28"/>
        </w:rPr>
        <w:t>的增值税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专用</w:t>
      </w:r>
      <w:r>
        <w:rPr>
          <w:rFonts w:hint="eastAsia" w:ascii="仿宋" w:hAnsi="仿宋" w:eastAsia="仿宋" w:cs="仿宋"/>
          <w:sz w:val="28"/>
          <w:szCs w:val="28"/>
        </w:rPr>
        <w:t>发票，甲方自收到乙方提供的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专用</w:t>
      </w:r>
      <w:r>
        <w:rPr>
          <w:rFonts w:hint="eastAsia" w:ascii="仿宋" w:hAnsi="仿宋" w:eastAsia="仿宋" w:cs="仿宋"/>
          <w:sz w:val="28"/>
          <w:szCs w:val="28"/>
        </w:rPr>
        <w:t>增值税发票之日起，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个工作日内一次性支付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97</w:t>
      </w:r>
      <w:r>
        <w:rPr>
          <w:rFonts w:hint="eastAsia" w:ascii="仿宋" w:hAnsi="仿宋" w:eastAsia="仿宋" w:cs="仿宋"/>
          <w:sz w:val="28"/>
          <w:szCs w:val="28"/>
          <w:u w:val="single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工程款。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余款作为工程保修金，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</w:rPr>
        <w:t>保修期满后，甲方在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个工作日内一次性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无息</w:t>
      </w:r>
      <w:r>
        <w:rPr>
          <w:rFonts w:hint="eastAsia" w:ascii="仿宋" w:hAnsi="仿宋" w:eastAsia="仿宋" w:cs="仿宋"/>
          <w:sz w:val="28"/>
          <w:szCs w:val="28"/>
        </w:rPr>
        <w:t>支付给乙方。</w:t>
      </w:r>
    </w:p>
    <w:p w14:paraId="5D8A0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1F12706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第十条 违约责任</w:t>
      </w:r>
    </w:p>
    <w:p w14:paraId="0E871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合同双方的任一方。未认真履行合同条款或违反国家法律、法规的有关规定所造成的损失均由责任方承担。由此而引起的经济损失，应由违约、违法的一方赔偿对方的直接损失。</w:t>
      </w:r>
    </w:p>
    <w:p w14:paraId="144A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B2A15DB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64EE737">
      <w:pPr>
        <w:spacing w:line="510" w:lineRule="exact"/>
        <w:ind w:left="780" w:leftChars="305" w:hanging="140" w:hangingChars="5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第十一条 合同争议的解决方式</w:t>
      </w:r>
    </w:p>
    <w:p w14:paraId="489A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本合同在履行过程中发生争议，由甲、乙双方协商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解决，</w:t>
      </w:r>
      <w:r>
        <w:rPr>
          <w:rFonts w:hint="eastAsia" w:ascii="仿宋" w:hAnsi="仿宋" w:eastAsia="仿宋" w:cs="仿宋"/>
          <w:sz w:val="28"/>
          <w:szCs w:val="28"/>
        </w:rPr>
        <w:t>协商不能解决，可依法向甲方所在地人民法院起诉。</w:t>
      </w:r>
    </w:p>
    <w:p w14:paraId="3B3EBE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E26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本合同双方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法定代表人或授权代表</w:t>
      </w:r>
      <w:r>
        <w:rPr>
          <w:rFonts w:hint="eastAsia" w:ascii="仿宋" w:hAnsi="仿宋" w:eastAsia="仿宋" w:cs="仿宋"/>
          <w:sz w:val="28"/>
          <w:szCs w:val="28"/>
        </w:rPr>
        <w:t>签字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盖章生效，工程款结清后终止。</w:t>
      </w:r>
    </w:p>
    <w:p w14:paraId="035189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0CD1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本合同所有涉及本工程的双方签单，双方均确认为本合同所产生的附件，具有同等法律效力。</w:t>
      </w:r>
    </w:p>
    <w:p w14:paraId="229E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803"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568D4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 xml:space="preserve"> 本合同一式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份，双方各执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份，共同遵守执行。</w:t>
      </w:r>
    </w:p>
    <w:p w14:paraId="5203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803"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1B5D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本合同如有未尽事宜，双方协商解决。</w:t>
      </w:r>
    </w:p>
    <w:p w14:paraId="485D7924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7ADEB1C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C0161FA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A4F8D5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88D2B91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8206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甲方（盖章）：                    乙方（盖章）：</w:t>
      </w:r>
    </w:p>
    <w:p w14:paraId="3ABB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甲方签字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乙方签字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FDA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</w:t>
      </w:r>
    </w:p>
    <w:p w14:paraId="11DA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 月   日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年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日</w:t>
      </w:r>
    </w:p>
    <w:p w14:paraId="06D8B35D">
      <w:pPr>
        <w:spacing w:line="51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72A894D">
      <w:pPr>
        <w:pStyle w:val="3"/>
        <w:ind w:firstLine="0" w:firstLineChars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0533031">
      <w:pPr>
        <w:pStyle w:val="3"/>
        <w:ind w:firstLine="0" w:firstLineChars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5F8893A">
      <w:pPr>
        <w:pStyle w:val="3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FB36E57">
      <w:pPr>
        <w:pStyle w:val="3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11"/>
        <w:tblW w:w="9716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90"/>
        <w:gridCol w:w="2438"/>
        <w:gridCol w:w="757"/>
        <w:gridCol w:w="1050"/>
        <w:gridCol w:w="855"/>
        <w:gridCol w:w="1050"/>
        <w:gridCol w:w="1451"/>
      </w:tblGrid>
      <w:tr w14:paraId="776A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规格及尺寸（cm）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338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厚1.5mm，高度40×宽度190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3B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2E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展开面积200.56㎡</w:t>
            </w:r>
          </w:p>
        </w:tc>
      </w:tr>
      <w:tr w14:paraId="63D5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C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51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展开面积19.32㎡</w:t>
            </w:r>
          </w:p>
        </w:tc>
      </w:tr>
      <w:tr w14:paraId="6026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厚1.5mm，高度40×宽度130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E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2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展开面积39.10㎡</w:t>
            </w:r>
          </w:p>
        </w:tc>
      </w:tr>
      <w:tr w14:paraId="5E70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镀锌通风管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厚1.0mm，高度32×宽度70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8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1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展开面积14.076㎡</w:t>
            </w:r>
          </w:p>
        </w:tc>
      </w:tr>
      <w:tr w14:paraId="564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风管排烟口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厚1.0mm，35cm*90cm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6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7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5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D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角铁横梁防锈处理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预计除锈防锈长度100米</w:t>
            </w:r>
          </w:p>
        </w:tc>
      </w:tr>
      <w:tr w14:paraId="2AAA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角铁横梁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宽4cm*高4cmm*厚度3mm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F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A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4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C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原通风管拆除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包含拆除、垃圾清运等费用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9D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D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5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包含辅材（如膨胀螺丝等）、角铁焊接、安装以及与原通风管连接等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E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D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6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C7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AC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总展开面积273.056㎡</w:t>
            </w:r>
          </w:p>
        </w:tc>
      </w:tr>
    </w:tbl>
    <w:p w14:paraId="1E4ABD86">
      <w:pPr>
        <w:pStyle w:val="3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A9725E">
      <w:pPr>
        <w:autoSpaceDE w:val="0"/>
        <w:autoSpaceDN w:val="0"/>
        <w:adjustRightInd w:val="0"/>
        <w:snapToGrid w:val="0"/>
        <w:spacing w:before="156" w:beforeLines="50" w:line="300" w:lineRule="auto"/>
        <w:ind w:right="-153" w:rightChars="-73"/>
        <w:rPr>
          <w:rFonts w:ascii="宋体" w:hAnsi="宋体" w:cs="仿宋"/>
          <w:b/>
          <w:bCs/>
          <w:snapToGrid w:val="0"/>
          <w:color w:val="000000"/>
          <w:kern w:val="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25D03-463F-490A-A4E8-D13E07C6E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348309-74CC-48D8-BB78-519AF48F65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574A780-62C6-43FC-9979-3502887C4B7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045E678-4F4A-4A87-8D6F-1EA8A6B230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DB0502-4880-4B60-8D3A-8C1593068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07B7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766B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A3C00"/>
    <w:multiLevelType w:val="singleLevel"/>
    <w:tmpl w:val="645A3C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N2IzODQ1OGQxM2MzYmM3OWQ3NGZkOGUyNjJhYzIifQ=="/>
  </w:docVars>
  <w:rsids>
    <w:rsidRoot w:val="6B262C54"/>
    <w:rsid w:val="00075F8C"/>
    <w:rsid w:val="00103152"/>
    <w:rsid w:val="001763E2"/>
    <w:rsid w:val="0024771E"/>
    <w:rsid w:val="003660B9"/>
    <w:rsid w:val="0044220B"/>
    <w:rsid w:val="004B4910"/>
    <w:rsid w:val="005B0894"/>
    <w:rsid w:val="005D2DD9"/>
    <w:rsid w:val="00611BDB"/>
    <w:rsid w:val="00785ECD"/>
    <w:rsid w:val="00874FB3"/>
    <w:rsid w:val="00945ECE"/>
    <w:rsid w:val="00B77422"/>
    <w:rsid w:val="00BE6D23"/>
    <w:rsid w:val="015A7A58"/>
    <w:rsid w:val="038556CD"/>
    <w:rsid w:val="0487173B"/>
    <w:rsid w:val="08DF02AB"/>
    <w:rsid w:val="09B3119D"/>
    <w:rsid w:val="0A520D34"/>
    <w:rsid w:val="0B8D324C"/>
    <w:rsid w:val="0D947993"/>
    <w:rsid w:val="0EAA3109"/>
    <w:rsid w:val="101265AA"/>
    <w:rsid w:val="12D527C1"/>
    <w:rsid w:val="13451652"/>
    <w:rsid w:val="139E1434"/>
    <w:rsid w:val="150C0EEF"/>
    <w:rsid w:val="1519427D"/>
    <w:rsid w:val="160C33BC"/>
    <w:rsid w:val="17BB73AC"/>
    <w:rsid w:val="195B397D"/>
    <w:rsid w:val="1A043539"/>
    <w:rsid w:val="1DBE4416"/>
    <w:rsid w:val="1DED4DC0"/>
    <w:rsid w:val="21C62EC5"/>
    <w:rsid w:val="248E62AB"/>
    <w:rsid w:val="25FC0296"/>
    <w:rsid w:val="27082C6B"/>
    <w:rsid w:val="2783416D"/>
    <w:rsid w:val="27A67E3C"/>
    <w:rsid w:val="294D18D3"/>
    <w:rsid w:val="297B7724"/>
    <w:rsid w:val="2A9F19FC"/>
    <w:rsid w:val="2BD96984"/>
    <w:rsid w:val="2E360AFB"/>
    <w:rsid w:val="33EE3D17"/>
    <w:rsid w:val="35002171"/>
    <w:rsid w:val="36A760F2"/>
    <w:rsid w:val="3E5E6E0B"/>
    <w:rsid w:val="3EB63DB0"/>
    <w:rsid w:val="40456C3A"/>
    <w:rsid w:val="406340DF"/>
    <w:rsid w:val="422E5823"/>
    <w:rsid w:val="424A4A9E"/>
    <w:rsid w:val="47214171"/>
    <w:rsid w:val="47354F5E"/>
    <w:rsid w:val="48616F95"/>
    <w:rsid w:val="49A87C69"/>
    <w:rsid w:val="49EF5898"/>
    <w:rsid w:val="4B326CDB"/>
    <w:rsid w:val="4FAA5F43"/>
    <w:rsid w:val="51C407B0"/>
    <w:rsid w:val="54974C95"/>
    <w:rsid w:val="54BF322C"/>
    <w:rsid w:val="55E7156B"/>
    <w:rsid w:val="57D9741F"/>
    <w:rsid w:val="58C438CB"/>
    <w:rsid w:val="59DE2BF6"/>
    <w:rsid w:val="5C3D4C5F"/>
    <w:rsid w:val="5C9D73D6"/>
    <w:rsid w:val="5D5850AB"/>
    <w:rsid w:val="5EC5741C"/>
    <w:rsid w:val="5F487ACD"/>
    <w:rsid w:val="5F5079A7"/>
    <w:rsid w:val="600F6368"/>
    <w:rsid w:val="61827FCC"/>
    <w:rsid w:val="65333849"/>
    <w:rsid w:val="654706DF"/>
    <w:rsid w:val="668138C4"/>
    <w:rsid w:val="6917406C"/>
    <w:rsid w:val="6A93448B"/>
    <w:rsid w:val="6B262C54"/>
    <w:rsid w:val="6BD35BF3"/>
    <w:rsid w:val="6CE1032F"/>
    <w:rsid w:val="71235CA4"/>
    <w:rsid w:val="724312D0"/>
    <w:rsid w:val="726848D2"/>
    <w:rsid w:val="72E17BC5"/>
    <w:rsid w:val="7476433D"/>
    <w:rsid w:val="747F660D"/>
    <w:rsid w:val="75363ACC"/>
    <w:rsid w:val="7B8F24ED"/>
    <w:rsid w:val="7BDA34A9"/>
    <w:rsid w:val="7C7C095E"/>
    <w:rsid w:val="7C9C4B5C"/>
    <w:rsid w:val="7E1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"/>
    <w:basedOn w:val="1"/>
    <w:next w:val="1"/>
    <w:autoRedefine/>
    <w:qFormat/>
    <w:uiPriority w:val="0"/>
    <w:rPr>
      <w:rFonts w:ascii="宋体" w:hAnsi="Arial"/>
      <w:sz w:val="28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pacing w:val="10"/>
      <w:sz w:val="28"/>
      <w:szCs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  <w:rPr>
      <w:rFonts w:eastAsia="宋体"/>
      <w:sz w:val="21"/>
      <w:szCs w:val="24"/>
    </w:rPr>
  </w:style>
  <w:style w:type="character" w:styleId="13">
    <w:name w:val="Emphasis"/>
    <w:basedOn w:val="12"/>
    <w:qFormat/>
    <w:uiPriority w:val="0"/>
    <w:rPr>
      <w:i/>
    </w:rPr>
  </w:style>
  <w:style w:type="paragraph" w:styleId="14">
    <w:name w:val="List Paragraph"/>
    <w:basedOn w:val="1"/>
    <w:autoRedefine/>
    <w:qFormat/>
    <w:uiPriority w:val="1"/>
    <w:pPr>
      <w:ind w:left="120" w:firstLine="420"/>
    </w:pPr>
    <w:rPr>
      <w:rFonts w:ascii="宋体" w:hAnsi="宋体" w:cs="宋体"/>
      <w:lang w:val="zh-CN" w:bidi="zh-CN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1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41"/>
    <w:basedOn w:val="12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51"/>
    <w:basedOn w:val="12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90</Words>
  <Characters>116</Characters>
  <Lines>31</Lines>
  <Paragraphs>8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2024-03-19T07:56:00Z</dcterms:created>
  <dc:creator>mhh</dc:creator>
  <cp:lastModifiedBy>张祺雪</cp:lastModifiedBy>
  <cp:lastPrinted>2025-05-28T06:40:00Z</cp:lastPrinted>
  <dcterms:modified xsi:type="dcterms:W3CDTF">2025-08-12T01:38:06Z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0CD762C103324465BE71FBFED2435ADE_13</vt:lpwstr>
  </property>
  <property fmtid="{D5CDD505-2E9C-101B-9397-08002B2CF9AE}" pid="4" name="KSOTemplateDocerSaveRecord">
    <vt:lpwstr>eyJoZGlkIjoiODllYmMyZjU1YzY5ZmIxMzUxNTNiMzRmZjk0NTk1NzAiLCJ1c2VySWQiOiIxNzE0ODczODQ4In0=</vt:lpwstr>
  </property>
</Properties>
</file>